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1FFAD" w14:textId="7DFE3C29"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3B4307">
        <w:rPr>
          <w:rFonts w:ascii="Arial" w:eastAsia="SimSun" w:hAnsi="Arial" w:cs="Times New Roman"/>
          <w:b/>
          <w:sz w:val="24"/>
          <w:szCs w:val="20"/>
        </w:rPr>
        <w:t>4bis</w:t>
      </w:r>
      <w:r w:rsidRPr="008F786B">
        <w:rPr>
          <w:rFonts w:ascii="Arial" w:eastAsia="SimSun" w:hAnsi="Arial" w:cs="Times New Roman"/>
          <w:b/>
          <w:bCs/>
          <w:sz w:val="24"/>
          <w:szCs w:val="20"/>
        </w:rPr>
        <w:tab/>
      </w:r>
      <w:r w:rsidR="007462FF" w:rsidRPr="007462FF">
        <w:rPr>
          <w:rFonts w:ascii="Arial" w:eastAsia="SimSun" w:hAnsi="Arial" w:cs="Times New Roman"/>
          <w:b/>
          <w:bCs/>
          <w:sz w:val="24"/>
          <w:szCs w:val="20"/>
          <w:lang w:eastAsia="ja-JP"/>
        </w:rPr>
        <w:t>R4-2504448</w:t>
      </w:r>
    </w:p>
    <w:bookmarkEnd w:id="0"/>
    <w:bookmarkEnd w:id="1"/>
    <w:p w14:paraId="2C1A6FFB" w14:textId="77777777" w:rsidR="00B26A8A" w:rsidRPr="00B26A8A" w:rsidRDefault="008668DA"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Wuhan</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China</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April</w:t>
      </w:r>
      <w:r w:rsidR="00B26A8A" w:rsidRPr="00B26A8A">
        <w:rPr>
          <w:rFonts w:ascii="Arial" w:eastAsia="SimSun" w:hAnsi="Arial" w:cs="Times New Roman"/>
          <w:b/>
          <w:sz w:val="24"/>
          <w:szCs w:val="20"/>
        </w:rPr>
        <w:t xml:space="preserve"> 7th –</w:t>
      </w:r>
      <w:r>
        <w:rPr>
          <w:rFonts w:ascii="Arial" w:eastAsia="SimSun" w:hAnsi="Arial" w:cs="Times New Roman"/>
          <w:b/>
          <w:sz w:val="24"/>
          <w:szCs w:val="20"/>
        </w:rPr>
        <w:t xml:space="preserve"> April 11th</w:t>
      </w:r>
      <w:r w:rsidR="00B26A8A" w:rsidRPr="00B26A8A">
        <w:rPr>
          <w:rFonts w:ascii="Arial" w:eastAsia="SimSun" w:hAnsi="Arial" w:cs="Times New Roman"/>
          <w:b/>
          <w:sz w:val="24"/>
          <w:szCs w:val="20"/>
        </w:rPr>
        <w:t>, 2025</w:t>
      </w:r>
    </w:p>
    <w:p w14:paraId="0D46CBC0"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00336E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465D1D12" w14:textId="7AE8E1E8"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6A3544">
        <w:rPr>
          <w:rFonts w:ascii="Arial" w:eastAsia="Calibri" w:hAnsi="Arial" w:cs="Arial"/>
          <w:b/>
          <w:bCs/>
          <w:sz w:val="24"/>
        </w:rPr>
        <w:t>Discussion on IoT NTN TDD requirements</w:t>
      </w:r>
    </w:p>
    <w:p w14:paraId="7D311261" w14:textId="0B284CD7"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6A3544">
        <w:rPr>
          <w:rFonts w:ascii="Arial" w:eastAsia="MS Mincho" w:hAnsi="Arial" w:cs="Arial"/>
          <w:b/>
          <w:bCs/>
          <w:sz w:val="24"/>
          <w:szCs w:val="20"/>
        </w:rPr>
        <w:t>7.31.5</w:t>
      </w:r>
    </w:p>
    <w:p w14:paraId="5E9B0115"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7B85678E" w14:textId="77777777" w:rsidR="00E323E9" w:rsidRPr="008F786B" w:rsidRDefault="00E323E9" w:rsidP="00841BCD">
      <w:pPr>
        <w:tabs>
          <w:tab w:val="left" w:pos="1985"/>
        </w:tabs>
        <w:rPr>
          <w:rFonts w:ascii="Arial" w:eastAsia="Calibri" w:hAnsi="Arial" w:cs="Arial"/>
          <w:b/>
          <w:bCs/>
          <w:sz w:val="24"/>
        </w:rPr>
      </w:pPr>
    </w:p>
    <w:p w14:paraId="47E2A620"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095813B2" w14:textId="57D7C917" w:rsidR="00411653" w:rsidRDefault="00411653" w:rsidP="00411653">
      <w:r>
        <w:t xml:space="preserve">In the plenary meeting RAN #105, a new WI for Rel-19 was approved to introduce a TDD frame operation for NTN </w:t>
      </w:r>
      <w:r>
        <w:fldChar w:fldCharType="begin"/>
      </w:r>
      <w:r>
        <w:instrText xml:space="preserve"> REF _Ref189739749 \r \h </w:instrText>
      </w:r>
      <w:r>
        <w:fldChar w:fldCharType="separate"/>
      </w:r>
      <w:r>
        <w:t>[1]</w:t>
      </w:r>
      <w:r>
        <w:fldChar w:fldCharType="end"/>
      </w:r>
      <w:r>
        <w:t xml:space="preserve">. The work item is designed to provide extended support of 3GPP NB-IoT features leveraging existing satellite systems deployed in Non-Geostationary Satellite Orbit (NGSO). It also aims at enabling low-complexity payloads for satellite operations that are non-reliant on a diplexer. </w:t>
      </w:r>
    </w:p>
    <w:p w14:paraId="12F84EC9" w14:textId="77777777" w:rsidR="00411653" w:rsidRDefault="00411653" w:rsidP="00411653">
      <w:r>
        <w:t xml:space="preserve">To achieve the aforementioned goals, the WID was designed to introduce an NTN-compatible TDD frame, that while based on minimum necessary changes on the NB-IoT NTN FDD specification provides a new approach to TDD periodicity.  RAN4 has analysed the potential impacts of such frame and provided their view on </w:t>
      </w:r>
      <w:r>
        <w:fldChar w:fldCharType="begin"/>
      </w:r>
      <w:r>
        <w:instrText xml:space="preserve"> REF _Ref189740025 \r \h </w:instrText>
      </w:r>
      <w:r>
        <w:fldChar w:fldCharType="separate"/>
      </w:r>
      <w:r>
        <w:t>[2]</w:t>
      </w:r>
      <w:r>
        <w:fldChar w:fldCharType="end"/>
      </w:r>
      <w:r>
        <w:t>.</w:t>
      </w:r>
    </w:p>
    <w:p w14:paraId="5AF3400F" w14:textId="77777777" w:rsidR="00411653" w:rsidRPr="008F786B" w:rsidRDefault="00411653" w:rsidP="00411653">
      <w:r>
        <w:t xml:space="preserve">In the plenary meeting RAN #106, the WID was updated to provide the objectives for RAN4 based on identified challenges </w:t>
      </w:r>
      <w:r>
        <w:fldChar w:fldCharType="begin"/>
      </w:r>
      <w:r>
        <w:instrText xml:space="preserve"> REF _Ref189740478 \r \h </w:instrText>
      </w:r>
      <w:r>
        <w:fldChar w:fldCharType="separate"/>
      </w:r>
      <w:r>
        <w:t>[3]</w:t>
      </w:r>
      <w:r>
        <w:fldChar w:fldCharType="end"/>
      </w:r>
      <w:r>
        <w:t xml:space="preserve">. In this document we discuss the potential RRM impacts. </w:t>
      </w:r>
    </w:p>
    <w:p w14:paraId="0D4649AF" w14:textId="77777777" w:rsidR="0060543D" w:rsidRPr="008F786B" w:rsidRDefault="0060543D" w:rsidP="005C23A4"/>
    <w:p w14:paraId="5C85866E" w14:textId="77777777" w:rsidR="00B66B7D" w:rsidRPr="008F786B" w:rsidRDefault="003B659E" w:rsidP="00B66B7D">
      <w:pPr>
        <w:pStyle w:val="RAN4H1"/>
      </w:pPr>
      <w:bookmarkStart w:id="4" w:name="_Toc116995842"/>
      <w:r w:rsidRPr="008F786B">
        <w:t>Discussion</w:t>
      </w:r>
      <w:bookmarkEnd w:id="4"/>
    </w:p>
    <w:p w14:paraId="4261E56D" w14:textId="4D23A12B" w:rsidR="00223534" w:rsidRDefault="00743601" w:rsidP="00223534">
      <w:r>
        <w:t xml:space="preserve">In the previous RAN4 meeting, several technical aspects were raised pointing for the need to update requirements in TS 36.133 when the UE is using the newly introduced TDD pattern for </w:t>
      </w:r>
      <w:r w:rsidR="00223534">
        <w:t xml:space="preserve">NTN in the </w:t>
      </w:r>
      <w:r w:rsidR="00223534" w:rsidRPr="00223534">
        <w:t xml:space="preserve">1616-1626.5 MHz MSS allocated </w:t>
      </w:r>
      <w:r w:rsidR="00223534">
        <w:t xml:space="preserve">band. In this contribution we will address some of the open issues and provide our views and proposals regarding those. </w:t>
      </w:r>
    </w:p>
    <w:p w14:paraId="0A7710AA" w14:textId="77777777" w:rsidR="00223534" w:rsidRPr="005C7EFA" w:rsidRDefault="00223534" w:rsidP="00223534">
      <w:pPr>
        <w:rPr>
          <w:highlight w:val="yellow"/>
        </w:rPr>
      </w:pPr>
    </w:p>
    <w:p w14:paraId="03AED503" w14:textId="12968C46" w:rsidR="00307EE8" w:rsidRPr="00803C11" w:rsidRDefault="00223534" w:rsidP="00307EE8">
      <w:pPr>
        <w:pStyle w:val="RAN4H2"/>
      </w:pPr>
      <w:r w:rsidRPr="00803C11">
        <w:t>General Aspects</w:t>
      </w:r>
    </w:p>
    <w:p w14:paraId="6ED77C26" w14:textId="1D9D43A2" w:rsidR="00223534" w:rsidRPr="00803C11" w:rsidRDefault="00223534" w:rsidP="00223534">
      <w:r w:rsidRPr="00803C11">
        <w:t>Several general aspects were discussed in the previous meeting, including discussions on the applicable coverage enhancement (whether apply i</w:t>
      </w:r>
      <w:r w:rsidR="00034A9D" w:rsidRPr="00803C11">
        <w:t>t</w:t>
      </w:r>
      <w:r w:rsidRPr="00803C11">
        <w:t xml:space="preserve"> or not) and if so, the maximum number of repetitions to be considered. Another important aspect discussed was related to the applicable DRX Cycle and the current patterns and how they might impact the measurement requirements once they are not aligned with the transmission patterns of the cell. </w:t>
      </w:r>
    </w:p>
    <w:p w14:paraId="43254496" w14:textId="40967ECA" w:rsidR="007A2588" w:rsidRPr="008F786B" w:rsidRDefault="007A2588" w:rsidP="007A2588">
      <w:pPr>
        <w:rPr>
          <w:b/>
          <w:bCs/>
        </w:rPr>
      </w:pPr>
    </w:p>
    <w:tbl>
      <w:tblPr>
        <w:tblStyle w:val="TableGrid"/>
        <w:tblW w:w="0" w:type="auto"/>
        <w:tblLook w:val="04A0" w:firstRow="1" w:lastRow="0" w:firstColumn="1" w:lastColumn="0" w:noHBand="0" w:noVBand="1"/>
      </w:tblPr>
      <w:tblGrid>
        <w:gridCol w:w="9617"/>
      </w:tblGrid>
      <w:tr w:rsidR="007A2588" w:rsidRPr="008F786B" w14:paraId="4D2BDC20" w14:textId="77777777">
        <w:tc>
          <w:tcPr>
            <w:tcW w:w="9617" w:type="dxa"/>
          </w:tcPr>
          <w:p w14:paraId="07C501D1" w14:textId="77777777" w:rsidR="007A2588" w:rsidRPr="008F786B" w:rsidRDefault="007A2588"/>
          <w:p w14:paraId="46A87B95" w14:textId="77777777" w:rsidR="00223534" w:rsidRPr="006A3544" w:rsidRDefault="00223534" w:rsidP="00223534">
            <w:pPr>
              <w:spacing w:after="180" w:line="276" w:lineRule="auto"/>
              <w:outlineLvl w:val="1"/>
              <w:rPr>
                <w:rFonts w:eastAsia="SimSun" w:cs="Times New Roman"/>
                <w:b/>
                <w:szCs w:val="20"/>
                <w:u w:val="single"/>
                <w:lang w:eastAsia="ko-KR"/>
              </w:rPr>
            </w:pPr>
            <w:r w:rsidRPr="006A3544">
              <w:rPr>
                <w:rFonts w:eastAsia="SimSun" w:cs="Times New Roman"/>
                <w:b/>
                <w:szCs w:val="20"/>
                <w:u w:val="single"/>
                <w:lang w:eastAsia="ko-KR"/>
              </w:rPr>
              <w:t xml:space="preserve">Issue 0: </w:t>
            </w:r>
            <w:r w:rsidRPr="006A3544">
              <w:rPr>
                <w:rFonts w:eastAsia="SimSun" w:cs="Times New Roman"/>
                <w:b/>
                <w:bCs/>
                <w:szCs w:val="20"/>
                <w:u w:val="single"/>
                <w:lang w:val="en-US" w:eastAsia="zh-CN"/>
              </w:rPr>
              <w:t>General aspects</w:t>
            </w:r>
          </w:p>
          <w:p w14:paraId="4899D0D4" w14:textId="77777777" w:rsidR="00223534" w:rsidRPr="006A3544" w:rsidRDefault="00223534" w:rsidP="00223534">
            <w:pPr>
              <w:snapToGrid w:val="0"/>
              <w:spacing w:after="120"/>
              <w:rPr>
                <w:rFonts w:eastAsia="SimSun" w:cs="Times New Roman"/>
                <w:szCs w:val="21"/>
                <w:highlight w:val="green"/>
                <w:lang w:eastAsia="zh-CN"/>
              </w:rPr>
            </w:pPr>
            <w:r w:rsidRPr="006A3544">
              <w:rPr>
                <w:rFonts w:eastAsia="SimSun" w:cs="Times New Roman"/>
                <w:szCs w:val="21"/>
                <w:highlight w:val="green"/>
                <w:lang w:eastAsia="zh-CN"/>
              </w:rPr>
              <w:t>Agreement (online):</w:t>
            </w:r>
          </w:p>
          <w:p w14:paraId="4FED3CB7" w14:textId="77777777" w:rsidR="00223534" w:rsidRPr="006A3544" w:rsidRDefault="00223534" w:rsidP="00223534">
            <w:pPr>
              <w:snapToGrid w:val="0"/>
              <w:spacing w:after="120"/>
              <w:rPr>
                <w:rFonts w:eastAsia="SimSun" w:cs="Times New Roman"/>
                <w:szCs w:val="21"/>
                <w:lang w:eastAsia="ja-JP"/>
              </w:rPr>
            </w:pPr>
            <w:r w:rsidRPr="006A3544">
              <w:rPr>
                <w:rFonts w:eastAsia="SimSun" w:cs="Times New Roman"/>
                <w:szCs w:val="21"/>
                <w:lang w:eastAsia="ja-JP"/>
              </w:rPr>
              <w:t>For TDD NB-IoT in NTN, the following aspects will be further considered in future RAN4 meetings:</w:t>
            </w:r>
          </w:p>
          <w:p w14:paraId="5B3F214E" w14:textId="77777777" w:rsidR="00223534" w:rsidRPr="006A3544" w:rsidRDefault="00223534" w:rsidP="00223534">
            <w:pPr>
              <w:numPr>
                <w:ilvl w:val="0"/>
                <w:numId w:val="29"/>
              </w:numPr>
              <w:snapToGrid w:val="0"/>
              <w:spacing w:after="120"/>
              <w:ind w:left="720"/>
              <w:rPr>
                <w:rFonts w:eastAsia="Malgun Gothic" w:cs="Times New Roman"/>
                <w:szCs w:val="21"/>
                <w:lang w:eastAsia="ko-KR"/>
              </w:rPr>
            </w:pPr>
            <w:r w:rsidRPr="006A3544">
              <w:rPr>
                <w:rFonts w:eastAsia="Malgun Gothic" w:cs="Times New Roman"/>
                <w:szCs w:val="21"/>
                <w:lang w:eastAsia="ko-KR"/>
              </w:rPr>
              <w:t>The target SNR</w:t>
            </w:r>
          </w:p>
          <w:p w14:paraId="1FED8B99" w14:textId="77777777" w:rsidR="00223534" w:rsidRPr="006A3544" w:rsidRDefault="00223534" w:rsidP="00223534">
            <w:pPr>
              <w:numPr>
                <w:ilvl w:val="0"/>
                <w:numId w:val="29"/>
              </w:numPr>
              <w:snapToGrid w:val="0"/>
              <w:spacing w:after="120"/>
              <w:ind w:left="720"/>
              <w:rPr>
                <w:rFonts w:eastAsia="Malgun Gothic" w:cs="Times New Roman"/>
                <w:szCs w:val="21"/>
                <w:lang w:eastAsia="ko-KR"/>
              </w:rPr>
            </w:pPr>
            <w:r w:rsidRPr="006A3544">
              <w:rPr>
                <w:rFonts w:eastAsia="Malgun Gothic" w:cs="Times New Roman"/>
                <w:szCs w:val="21"/>
                <w:lang w:eastAsia="ko-KR"/>
              </w:rPr>
              <w:t>Applicable coverage (whether the EC needs to be considered)</w:t>
            </w:r>
          </w:p>
          <w:p w14:paraId="77113363" w14:textId="77777777" w:rsidR="00223534" w:rsidRPr="006A3544" w:rsidRDefault="00223534" w:rsidP="00223534">
            <w:pPr>
              <w:numPr>
                <w:ilvl w:val="0"/>
                <w:numId w:val="29"/>
              </w:numPr>
              <w:snapToGrid w:val="0"/>
              <w:spacing w:after="120"/>
              <w:ind w:left="720"/>
              <w:rPr>
                <w:rFonts w:eastAsia="Malgun Gothic" w:cs="Times New Roman"/>
                <w:szCs w:val="21"/>
                <w:lang w:eastAsia="ko-KR"/>
              </w:rPr>
            </w:pPr>
            <w:r w:rsidRPr="006A3544">
              <w:rPr>
                <w:rFonts w:eastAsia="Malgun Gothic" w:cs="Times New Roman"/>
                <w:szCs w:val="21"/>
                <w:lang w:eastAsia="ko-KR"/>
              </w:rPr>
              <w:t xml:space="preserve">Applicable </w:t>
            </w:r>
            <w:proofErr w:type="spellStart"/>
            <w:r w:rsidRPr="006A3544">
              <w:rPr>
                <w:rFonts w:eastAsia="Malgun Gothic" w:cs="Times New Roman"/>
                <w:szCs w:val="21"/>
                <w:lang w:eastAsia="ko-KR"/>
              </w:rPr>
              <w:t>Rmax</w:t>
            </w:r>
            <w:proofErr w:type="spellEnd"/>
          </w:p>
          <w:p w14:paraId="69ED4FC1" w14:textId="77777777" w:rsidR="00223534" w:rsidRPr="006A3544" w:rsidRDefault="00223534" w:rsidP="00223534">
            <w:pPr>
              <w:numPr>
                <w:ilvl w:val="0"/>
                <w:numId w:val="29"/>
              </w:numPr>
              <w:snapToGrid w:val="0"/>
              <w:spacing w:after="120"/>
              <w:ind w:left="720"/>
              <w:rPr>
                <w:rFonts w:eastAsia="Malgun Gothic" w:cs="Times New Roman"/>
                <w:szCs w:val="21"/>
                <w:lang w:eastAsia="ko-KR"/>
              </w:rPr>
            </w:pPr>
            <w:r w:rsidRPr="006A3544">
              <w:rPr>
                <w:rFonts w:eastAsia="Malgun Gothic" w:cs="Times New Roman"/>
                <w:szCs w:val="21"/>
                <w:lang w:eastAsia="ko-KR"/>
              </w:rPr>
              <w:t>Applicable DRX cycle</w:t>
            </w:r>
          </w:p>
          <w:p w14:paraId="50198371" w14:textId="77777777" w:rsidR="00223534" w:rsidRPr="006A3544" w:rsidRDefault="00223534" w:rsidP="00223534">
            <w:pPr>
              <w:numPr>
                <w:ilvl w:val="1"/>
                <w:numId w:val="30"/>
              </w:numPr>
              <w:snapToGrid w:val="0"/>
              <w:spacing w:after="120"/>
              <w:rPr>
                <w:rFonts w:eastAsia="Malgun Gothic" w:cs="Times New Roman"/>
                <w:szCs w:val="21"/>
                <w:lang w:eastAsia="ko-KR"/>
              </w:rPr>
            </w:pPr>
            <w:r w:rsidRPr="006A3544">
              <w:rPr>
                <w:rFonts w:eastAsia="Malgun Gothic" w:cs="Times New Roman"/>
                <w:szCs w:val="21"/>
                <w:lang w:eastAsia="ko-KR"/>
              </w:rPr>
              <w:lastRenderedPageBreak/>
              <w:t>Note: The DRX cycle might not be non-uniformly periodic due to the H-SFN not matching with the new TDD pattern. This issue will be addressed by other working groups. In the meantime, RAN4 assumes the DRX cycle is uniformly periodic.</w:t>
            </w:r>
          </w:p>
          <w:p w14:paraId="2BE361CE" w14:textId="77777777" w:rsidR="007A2588" w:rsidRPr="008F786B" w:rsidRDefault="007A2588"/>
        </w:tc>
      </w:tr>
    </w:tbl>
    <w:p w14:paraId="26A88B9F" w14:textId="77777777" w:rsidR="007A2588" w:rsidRDefault="007A2588" w:rsidP="007A2588"/>
    <w:p w14:paraId="6258EED7" w14:textId="4F7824CA" w:rsidR="006A3544" w:rsidRDefault="00223534" w:rsidP="00223534">
      <w:pPr>
        <w:pStyle w:val="RAN4H3"/>
      </w:pPr>
      <w:r>
        <w:t>Coverage Enhancement</w:t>
      </w:r>
    </w:p>
    <w:p w14:paraId="574A1776" w14:textId="252BFF6E" w:rsidR="00223534" w:rsidRDefault="005B50E9" w:rsidP="00223534">
      <w:pPr>
        <w:pStyle w:val="RAN4H3"/>
        <w:numPr>
          <w:ilvl w:val="0"/>
          <w:numId w:val="0"/>
        </w:numPr>
      </w:pPr>
      <w:r>
        <w:t xml:space="preserve">In the previous meeting, RAN4 had no visibility from the other working groups (RAN1 and RAN2) whether DL coverage enhancement features were part of the scope of work and whether we should take them into consideration when creating the requirements. </w:t>
      </w:r>
      <w:r w:rsidR="00911A65">
        <w:t>This situation was clarified in RAN</w:t>
      </w:r>
      <w:r w:rsidR="00D76707">
        <w:t>2</w:t>
      </w:r>
      <w:r w:rsidR="00911A65">
        <w:t xml:space="preserve"> # 12</w:t>
      </w:r>
      <w:r w:rsidR="00D76707">
        <w:t>9</w:t>
      </w:r>
      <w:r w:rsidR="00911A65">
        <w:t>, where RAN</w:t>
      </w:r>
      <w:r w:rsidR="00D76707">
        <w:t>2</w:t>
      </w:r>
      <w:r w:rsidR="00911A65">
        <w:t xml:space="preserve"> has reached </w:t>
      </w:r>
      <w:r w:rsidR="00D76707">
        <w:t xml:space="preserve">the following </w:t>
      </w:r>
      <w:r w:rsidR="00911A65">
        <w:t>agreement</w:t>
      </w:r>
      <w:r w:rsidR="00D76707">
        <w:t>:</w:t>
      </w:r>
    </w:p>
    <w:tbl>
      <w:tblPr>
        <w:tblStyle w:val="TableGrid"/>
        <w:tblW w:w="0" w:type="auto"/>
        <w:tblLook w:val="04A0" w:firstRow="1" w:lastRow="0" w:firstColumn="1" w:lastColumn="0" w:noHBand="0" w:noVBand="1"/>
      </w:tblPr>
      <w:tblGrid>
        <w:gridCol w:w="9617"/>
      </w:tblGrid>
      <w:tr w:rsidR="00D76707" w14:paraId="574D4F47" w14:textId="77777777" w:rsidTr="00D76707">
        <w:tc>
          <w:tcPr>
            <w:tcW w:w="9617" w:type="dxa"/>
          </w:tcPr>
          <w:p w14:paraId="7CE48EC8" w14:textId="77777777" w:rsidR="00D76707" w:rsidRDefault="00D76707" w:rsidP="00D76707">
            <w:pPr>
              <w:pStyle w:val="Agreement"/>
              <w:tabs>
                <w:tab w:val="left" w:pos="1619"/>
              </w:tabs>
              <w:overflowPunct/>
              <w:autoSpaceDE/>
              <w:adjustRightInd/>
              <w:ind w:left="1619" w:hanging="360"/>
            </w:pPr>
            <w:r>
              <w:t xml:space="preserve">RAN2 assumes that legacy coverage enhancement techniques (i.e. transmission with repetitions) are supported in IoT-NTN TDD system. </w:t>
            </w:r>
          </w:p>
          <w:p w14:paraId="11146AAE" w14:textId="77777777" w:rsidR="00D76707" w:rsidRDefault="00D76707" w:rsidP="00223534">
            <w:pPr>
              <w:pStyle w:val="RAN4H3"/>
              <w:numPr>
                <w:ilvl w:val="0"/>
                <w:numId w:val="0"/>
              </w:numPr>
            </w:pPr>
          </w:p>
        </w:tc>
      </w:tr>
    </w:tbl>
    <w:p w14:paraId="4D36E416" w14:textId="77777777" w:rsidR="00D76707" w:rsidRDefault="00D76707" w:rsidP="00223534">
      <w:pPr>
        <w:pStyle w:val="RAN4H3"/>
        <w:numPr>
          <w:ilvl w:val="0"/>
          <w:numId w:val="0"/>
        </w:numPr>
      </w:pPr>
    </w:p>
    <w:p w14:paraId="2108CDC3" w14:textId="0B94D181" w:rsidR="006A3544" w:rsidRDefault="00D76707" w:rsidP="007A2588">
      <w:r>
        <w:t xml:space="preserve">Therefore, the legacy coverage enhancement feature is part of the scope of the current work item, and therefore should be addressed accordingly. However, due to the difference of the frame pattern, which provides “active” and “non-active”  times in the serving cell, there are still question marks regarding the “segmentation”, transmission gaps, and the maximum number of repetitions to be considered during a DL or UL transmission. </w:t>
      </w:r>
    </w:p>
    <w:p w14:paraId="2A5A4A0B" w14:textId="14A4A9C4" w:rsidR="00D76707" w:rsidRDefault="006C7A02" w:rsidP="007A2588">
      <w:r>
        <w:t>RAN1 has assumed tacitly that Coverage Enhancement feature applies for NB-IoT NTN TDD, but with no agreements yet whether a transmission pattern goes beyond one or more DL/UL occasions:</w:t>
      </w:r>
    </w:p>
    <w:tbl>
      <w:tblPr>
        <w:tblStyle w:val="TableGrid"/>
        <w:tblW w:w="0" w:type="auto"/>
        <w:tblLook w:val="04A0" w:firstRow="1" w:lastRow="0" w:firstColumn="1" w:lastColumn="0" w:noHBand="0" w:noVBand="1"/>
      </w:tblPr>
      <w:tblGrid>
        <w:gridCol w:w="9617"/>
      </w:tblGrid>
      <w:tr w:rsidR="00D76707" w14:paraId="6A50A032" w14:textId="77777777" w:rsidTr="00D76707">
        <w:tc>
          <w:tcPr>
            <w:tcW w:w="9617" w:type="dxa"/>
          </w:tcPr>
          <w:p w14:paraId="60134055" w14:textId="0C2601C5" w:rsidR="00D76707" w:rsidRPr="00D76707" w:rsidRDefault="00D76707" w:rsidP="00D76707">
            <w:pPr>
              <w:rPr>
                <w:bCs/>
              </w:rPr>
            </w:pPr>
            <w:r>
              <w:t xml:space="preserve"> </w:t>
            </w:r>
            <w:r w:rsidRPr="00D76707">
              <w:rPr>
                <w:bCs/>
              </w:rPr>
              <w:t>Agreement</w:t>
            </w:r>
          </w:p>
          <w:p w14:paraId="5D97DB70" w14:textId="77777777" w:rsidR="00D76707" w:rsidRPr="00D76707" w:rsidRDefault="00D76707" w:rsidP="00D76707">
            <w:pPr>
              <w:rPr>
                <w:bCs/>
              </w:rPr>
            </w:pPr>
            <w:r w:rsidRPr="00D76707">
              <w:rPr>
                <w:bCs/>
              </w:rPr>
              <w:t>For segmented pre-compensation, RAN1 to further discuss at least the following options:</w:t>
            </w:r>
          </w:p>
          <w:p w14:paraId="25CA3A5F" w14:textId="77777777" w:rsidR="00D76707" w:rsidRPr="00D76707" w:rsidRDefault="00D76707" w:rsidP="00D76707">
            <w:pPr>
              <w:numPr>
                <w:ilvl w:val="0"/>
                <w:numId w:val="32"/>
              </w:numPr>
              <w:rPr>
                <w:bCs/>
              </w:rPr>
            </w:pPr>
            <w:r w:rsidRPr="00D76707">
              <w:rPr>
                <w:bCs/>
              </w:rPr>
              <w:t>Option 1: Dropped/postponed NPUSCH / NPRACH are counted for segment determination</w:t>
            </w:r>
          </w:p>
          <w:p w14:paraId="5A2E0A74" w14:textId="77777777" w:rsidR="00D76707" w:rsidRPr="00D76707" w:rsidRDefault="00D76707" w:rsidP="00D76707">
            <w:pPr>
              <w:numPr>
                <w:ilvl w:val="0"/>
                <w:numId w:val="32"/>
              </w:numPr>
              <w:rPr>
                <w:bCs/>
              </w:rPr>
            </w:pPr>
            <w:r w:rsidRPr="00D76707">
              <w:rPr>
                <w:bCs/>
              </w:rPr>
              <w:t>Option 2: A new pre-compensation segment is started at the beginning of each uplink burst</w:t>
            </w:r>
          </w:p>
          <w:p w14:paraId="3353E9F8" w14:textId="77777777" w:rsidR="00D76707" w:rsidRPr="00D76707" w:rsidRDefault="00D76707" w:rsidP="00D76707">
            <w:pPr>
              <w:numPr>
                <w:ilvl w:val="0"/>
                <w:numId w:val="32"/>
              </w:numPr>
              <w:rPr>
                <w:bCs/>
              </w:rPr>
            </w:pPr>
            <w:r w:rsidRPr="00D76707">
              <w:rPr>
                <w:bCs/>
              </w:rPr>
              <w:t>Option 3: UL segment should only be defined in consecutive U subframes</w:t>
            </w:r>
          </w:p>
          <w:p w14:paraId="3543A32A" w14:textId="77777777" w:rsidR="00D76707" w:rsidRPr="00D76707" w:rsidRDefault="00D76707" w:rsidP="00D76707">
            <w:pPr>
              <w:numPr>
                <w:ilvl w:val="0"/>
                <w:numId w:val="32"/>
              </w:numPr>
              <w:rPr>
                <w:bCs/>
              </w:rPr>
            </w:pPr>
            <w:r w:rsidRPr="00D76707">
              <w:rPr>
                <w:bCs/>
              </w:rPr>
              <w:t>Option 4: Segmented pre-compensation does not apply for NB-IoT NTN TDD.</w:t>
            </w:r>
          </w:p>
          <w:p w14:paraId="7ED75473" w14:textId="77777777" w:rsidR="00D76707" w:rsidRPr="00D76707" w:rsidRDefault="00D76707" w:rsidP="00D76707">
            <w:pPr>
              <w:numPr>
                <w:ilvl w:val="0"/>
                <w:numId w:val="32"/>
              </w:numPr>
              <w:rPr>
                <w:bCs/>
              </w:rPr>
            </w:pPr>
            <w:r w:rsidRPr="00D76707">
              <w:rPr>
                <w:bCs/>
              </w:rPr>
              <w:t>FFS: How to handle the UL segment gap.</w:t>
            </w:r>
          </w:p>
          <w:p w14:paraId="066EF8EF" w14:textId="77777777" w:rsidR="00D76707" w:rsidRDefault="00D76707" w:rsidP="007A2588"/>
        </w:tc>
      </w:tr>
    </w:tbl>
    <w:p w14:paraId="1644127A" w14:textId="77777777" w:rsidR="006C7A02" w:rsidRDefault="006C7A02" w:rsidP="007A2588"/>
    <w:p w14:paraId="25B39D8B" w14:textId="2A12A6E0" w:rsidR="006C7A02" w:rsidRDefault="006C7A02" w:rsidP="007A2588">
      <w:r>
        <w:t>Based on the above, it is our view that:</w:t>
      </w:r>
    </w:p>
    <w:p w14:paraId="6945A42D" w14:textId="420E9E69" w:rsidR="006C7A02" w:rsidRDefault="006C7A02" w:rsidP="006C7A02">
      <w:pPr>
        <w:pStyle w:val="RAN4proposal"/>
      </w:pPr>
      <w:bookmarkStart w:id="5" w:name="_Toc194073719"/>
      <w:r>
        <w:t>Coverage Enhancements requirements are applicable for NB-IoT NTN TDD.</w:t>
      </w:r>
      <w:bookmarkEnd w:id="5"/>
    </w:p>
    <w:p w14:paraId="3A65E027" w14:textId="71FAFBF4" w:rsidR="006C7A02" w:rsidRDefault="006C7A02" w:rsidP="006C7A02">
      <w:pPr>
        <w:pStyle w:val="RAN4proposal"/>
      </w:pPr>
      <w:bookmarkStart w:id="6" w:name="_Toc194073720"/>
      <w:r>
        <w:t>Wait for further RAN1 definition to decide whether the requirements for coverage enhancements require updating.</w:t>
      </w:r>
      <w:bookmarkEnd w:id="6"/>
      <w:r>
        <w:t xml:space="preserve"> </w:t>
      </w:r>
    </w:p>
    <w:p w14:paraId="1CE2337E" w14:textId="77777777" w:rsidR="006C7A02" w:rsidRPr="006C7A02" w:rsidRDefault="006C7A02" w:rsidP="006C7A02"/>
    <w:p w14:paraId="372C110A" w14:textId="1A6053B4" w:rsidR="006A3544" w:rsidRDefault="006C7A02" w:rsidP="006C7A02">
      <w:pPr>
        <w:pStyle w:val="RAN4H3"/>
        <w:rPr>
          <w:lang w:eastAsia="ko-KR"/>
        </w:rPr>
      </w:pPr>
      <w:r>
        <w:rPr>
          <w:lang w:eastAsia="ko-KR"/>
        </w:rPr>
        <w:t>Applicable DRX Cycle</w:t>
      </w:r>
    </w:p>
    <w:p w14:paraId="7BBA9ED2" w14:textId="5E14C22D" w:rsidR="006C7A02" w:rsidRDefault="006C7A02" w:rsidP="0067346C">
      <w:pPr>
        <w:rPr>
          <w:lang w:eastAsia="ko-KR"/>
        </w:rPr>
      </w:pPr>
      <w:r>
        <w:rPr>
          <w:lang w:eastAsia="ko-KR"/>
        </w:rPr>
        <w:t xml:space="preserve">Neither RAN1 nor RAN2 has fully addressed the problem that the DRX Cycle periodicities and the frame pattern periodicities are not multiple of each other, and therefore, there might be mismatch between the active periods of the UE and the DL opportunities used by the serving cell. </w:t>
      </w:r>
      <w:r w:rsidR="0067346C" w:rsidRPr="009F07D8">
        <w:t xml:space="preserve">For example, for the case of cell evaluation for cell reselection, where DRX Cycles may have periodicities that are multiple of 320 </w:t>
      </w:r>
      <w:proofErr w:type="spellStart"/>
      <w:r w:rsidR="0067346C" w:rsidRPr="009F07D8">
        <w:t>ms</w:t>
      </w:r>
      <w:proofErr w:type="spellEnd"/>
      <w:r w:rsidR="0067346C" w:rsidRPr="009F07D8">
        <w:t xml:space="preserve">, and therefore, non-multiple of 90 </w:t>
      </w:r>
      <w:proofErr w:type="spellStart"/>
      <w:r w:rsidR="0067346C" w:rsidRPr="009F07D8">
        <w:t>ms</w:t>
      </w:r>
      <w:proofErr w:type="spellEnd"/>
      <w:r w:rsidR="0067346C" w:rsidRPr="009F07D8">
        <w:t xml:space="preserve">. This would indicate that the active part of the DRX Cycle slips slightly over time every cycle of N frames and cannot be matched with the active time on this cell. </w:t>
      </w:r>
      <w:r w:rsidR="0067346C">
        <w:t xml:space="preserve"> </w:t>
      </w:r>
      <w:r>
        <w:rPr>
          <w:lang w:eastAsia="ko-KR"/>
        </w:rPr>
        <w:t xml:space="preserve">However, RAN2 has identified that </w:t>
      </w:r>
      <w:r w:rsidR="0067346C">
        <w:rPr>
          <w:lang w:eastAsia="ko-KR"/>
        </w:rPr>
        <w:t>there might be some problems that need addressing regarding the (e)DRX cycles:</w:t>
      </w:r>
      <w:r>
        <w:rPr>
          <w:lang w:eastAsia="ko-KR"/>
        </w:rPr>
        <w:t xml:space="preserve"> </w:t>
      </w:r>
    </w:p>
    <w:p w14:paraId="6B8AFFE9" w14:textId="77777777" w:rsidR="0067346C" w:rsidRPr="0067346C" w:rsidRDefault="0067346C" w:rsidP="0067346C">
      <w:pPr>
        <w:pBdr>
          <w:top w:val="single" w:sz="4" w:space="1" w:color="auto"/>
          <w:left w:val="single" w:sz="4" w:space="31"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eastAsia="Times New Roman" w:hAnsi="Arial" w:cs="Arial"/>
          <w:sz w:val="22"/>
          <w:lang w:eastAsia="ja-JP"/>
        </w:rPr>
      </w:pPr>
      <w:r w:rsidRPr="0067346C">
        <w:rPr>
          <w:rFonts w:ascii="Arial" w:eastAsia="Times New Roman" w:hAnsi="Arial" w:cs="Arial"/>
          <w:sz w:val="22"/>
          <w:lang w:val="en-US" w:eastAsia="ja-JP"/>
        </w:rPr>
        <w:t>Agreements:</w:t>
      </w:r>
    </w:p>
    <w:p w14:paraId="4E887A84" w14:textId="77777777" w:rsidR="0067346C" w:rsidRPr="0067346C" w:rsidRDefault="0067346C" w:rsidP="0067346C">
      <w:pPr>
        <w:numPr>
          <w:ilvl w:val="0"/>
          <w:numId w:val="33"/>
        </w:numPr>
        <w:pBdr>
          <w:top w:val="single" w:sz="4" w:space="1" w:color="auto"/>
          <w:left w:val="single" w:sz="4" w:space="31" w:color="auto"/>
          <w:bottom w:val="single" w:sz="4" w:space="1" w:color="auto"/>
          <w:right w:val="single" w:sz="4" w:space="4" w:color="auto"/>
        </w:pBdr>
        <w:tabs>
          <w:tab w:val="left" w:pos="1622"/>
        </w:tabs>
        <w:autoSpaceDN w:val="0"/>
        <w:spacing w:after="0" w:line="240" w:lineRule="auto"/>
        <w:rPr>
          <w:rFonts w:ascii="Arial" w:eastAsia="Times New Roman" w:hAnsi="Arial" w:cs="Arial"/>
          <w:sz w:val="22"/>
          <w:highlight w:val="yellow"/>
          <w:lang w:val="en-US" w:eastAsia="ja-JP"/>
        </w:rPr>
      </w:pPr>
      <w:r w:rsidRPr="0067346C">
        <w:rPr>
          <w:rFonts w:ascii="Arial" w:eastAsia="Times New Roman" w:hAnsi="Arial" w:cs="Arial"/>
          <w:sz w:val="22"/>
          <w:highlight w:val="yellow"/>
          <w:lang w:val="en-US" w:eastAsia="ja-JP"/>
        </w:rPr>
        <w:t>RAN2 will continue studying paging aspects based, on RAN1 progress</w:t>
      </w:r>
    </w:p>
    <w:p w14:paraId="64D0F0F1" w14:textId="77777777" w:rsidR="0067346C" w:rsidRPr="0067346C" w:rsidRDefault="0067346C" w:rsidP="0067346C">
      <w:pPr>
        <w:numPr>
          <w:ilvl w:val="0"/>
          <w:numId w:val="33"/>
        </w:numPr>
        <w:pBdr>
          <w:top w:val="single" w:sz="4" w:space="1" w:color="auto"/>
          <w:left w:val="single" w:sz="4" w:space="31" w:color="auto"/>
          <w:bottom w:val="single" w:sz="4" w:space="1" w:color="auto"/>
          <w:right w:val="single" w:sz="4" w:space="4" w:color="auto"/>
        </w:pBdr>
        <w:spacing w:after="0" w:line="240" w:lineRule="auto"/>
        <w:rPr>
          <w:rFonts w:ascii="Arial" w:eastAsia="MS Mincho" w:hAnsi="Arial" w:cs="Calibri"/>
          <w:szCs w:val="24"/>
          <w:lang w:val="en-US"/>
        </w:rPr>
      </w:pPr>
      <w:r w:rsidRPr="0067346C">
        <w:rPr>
          <w:rFonts w:ascii="Arial" w:eastAsia="MS Mincho" w:hAnsi="Arial" w:cs="Calibri"/>
          <w:szCs w:val="24"/>
          <w:lang w:val="en-US"/>
        </w:rPr>
        <w:t xml:space="preserve">RAN2 assumes </w:t>
      </w:r>
      <w:proofErr w:type="spellStart"/>
      <w:r w:rsidRPr="0067346C">
        <w:rPr>
          <w:rFonts w:ascii="Arial" w:eastAsia="MS Mincho" w:hAnsi="Arial" w:cs="Calibri"/>
          <w:szCs w:val="24"/>
          <w:lang w:val="en-US"/>
        </w:rPr>
        <w:t>Kmac</w:t>
      </w:r>
      <w:proofErr w:type="spellEnd"/>
      <w:r w:rsidRPr="0067346C">
        <w:rPr>
          <w:rFonts w:ascii="Arial" w:eastAsia="MS Mincho" w:hAnsi="Arial" w:cs="Calibri"/>
          <w:szCs w:val="24"/>
          <w:lang w:val="en-US"/>
        </w:rPr>
        <w:t xml:space="preserve"> has to be extended (or a new parameter with higher range introduced) to address the case where the number of hops exceeds a certain limit. We </w:t>
      </w:r>
      <w:r w:rsidRPr="0067346C">
        <w:rPr>
          <w:rFonts w:ascii="Arial" w:eastAsia="MS Mincho" w:hAnsi="Arial" w:cs="Calibri"/>
          <w:szCs w:val="24"/>
          <w:lang w:val="en-US"/>
        </w:rPr>
        <w:lastRenderedPageBreak/>
        <w:t>continue the discussion in the next meeting to investigate if there are any other implications and in case of any decisions we send an LS to other groups if needed.</w:t>
      </w:r>
    </w:p>
    <w:p w14:paraId="3EB84955" w14:textId="77777777" w:rsidR="0067346C" w:rsidRPr="0067346C" w:rsidRDefault="0067346C" w:rsidP="0067346C">
      <w:pPr>
        <w:numPr>
          <w:ilvl w:val="0"/>
          <w:numId w:val="33"/>
        </w:numPr>
        <w:pBdr>
          <w:top w:val="single" w:sz="4" w:space="1" w:color="auto"/>
          <w:left w:val="single" w:sz="4" w:space="31" w:color="auto"/>
          <w:bottom w:val="single" w:sz="4" w:space="1" w:color="auto"/>
          <w:right w:val="single" w:sz="4" w:space="4" w:color="auto"/>
        </w:pBdr>
        <w:tabs>
          <w:tab w:val="left" w:pos="1622"/>
        </w:tabs>
        <w:autoSpaceDN w:val="0"/>
        <w:spacing w:after="0" w:line="240" w:lineRule="auto"/>
        <w:rPr>
          <w:rFonts w:ascii="Arial" w:eastAsia="Times New Roman" w:hAnsi="Arial" w:cs="Arial"/>
          <w:szCs w:val="20"/>
          <w:lang w:val="en-US" w:eastAsia="ja-JP"/>
        </w:rPr>
      </w:pPr>
      <w:r w:rsidRPr="0067346C">
        <w:rPr>
          <w:rFonts w:ascii="Arial" w:eastAsia="Times New Roman" w:hAnsi="Arial" w:cs="Arial"/>
          <w:sz w:val="22"/>
          <w:lang w:val="en-US" w:eastAsia="ja-JP"/>
        </w:rPr>
        <w:t xml:space="preserve">RAN2 confirms that idle mode </w:t>
      </w:r>
      <w:proofErr w:type="spellStart"/>
      <w:r w:rsidRPr="0067346C">
        <w:rPr>
          <w:rFonts w:ascii="Arial" w:eastAsia="Times New Roman" w:hAnsi="Arial" w:cs="Arial"/>
          <w:sz w:val="22"/>
          <w:lang w:val="en-US" w:eastAsia="ja-JP"/>
        </w:rPr>
        <w:t>eDRX</w:t>
      </w:r>
      <w:proofErr w:type="spellEnd"/>
      <w:r w:rsidRPr="0067346C">
        <w:rPr>
          <w:rFonts w:ascii="Arial" w:eastAsia="Times New Roman" w:hAnsi="Arial" w:cs="Arial"/>
          <w:sz w:val="22"/>
          <w:lang w:val="en-US" w:eastAsia="ja-JP"/>
        </w:rPr>
        <w:t xml:space="preserve"> is supported in IoT-NTN TDD network.</w:t>
      </w:r>
    </w:p>
    <w:p w14:paraId="3EE21E6A" w14:textId="77777777" w:rsidR="0067346C" w:rsidRPr="0067346C" w:rsidRDefault="0067346C" w:rsidP="0067346C">
      <w:pPr>
        <w:numPr>
          <w:ilvl w:val="0"/>
          <w:numId w:val="33"/>
        </w:numPr>
        <w:pBdr>
          <w:top w:val="single" w:sz="4" w:space="1" w:color="auto"/>
          <w:left w:val="single" w:sz="4" w:space="31" w:color="auto"/>
          <w:bottom w:val="single" w:sz="4" w:space="1" w:color="auto"/>
          <w:right w:val="single" w:sz="4" w:space="4" w:color="auto"/>
        </w:pBdr>
        <w:spacing w:after="0" w:line="240" w:lineRule="auto"/>
        <w:rPr>
          <w:rFonts w:ascii="Arial" w:eastAsia="MS Mincho" w:hAnsi="Arial" w:cs="Calibri"/>
          <w:szCs w:val="24"/>
          <w:highlight w:val="yellow"/>
          <w:lang w:val="en-US"/>
        </w:rPr>
      </w:pPr>
      <w:r w:rsidRPr="0067346C">
        <w:rPr>
          <w:rFonts w:ascii="Arial" w:eastAsia="MS Mincho" w:hAnsi="Arial" w:cs="Calibri"/>
          <w:szCs w:val="24"/>
          <w:highlight w:val="yellow"/>
          <w:lang w:val="en-US"/>
        </w:rPr>
        <w:t xml:space="preserve">RAN2 thinks that a change of H-SFN duration (Option 1-1) and/or H-SFN total number (option 2-2) will impact RAN2 and SA2 specification regarding the support of idle mode </w:t>
      </w:r>
      <w:proofErr w:type="spellStart"/>
      <w:r w:rsidRPr="0067346C">
        <w:rPr>
          <w:rFonts w:ascii="Arial" w:eastAsia="MS Mincho" w:hAnsi="Arial" w:cs="Calibri"/>
          <w:szCs w:val="24"/>
          <w:highlight w:val="yellow"/>
          <w:lang w:val="en-US"/>
        </w:rPr>
        <w:t>eDRX</w:t>
      </w:r>
      <w:proofErr w:type="spellEnd"/>
      <w:r w:rsidRPr="0067346C">
        <w:rPr>
          <w:rFonts w:ascii="Arial" w:eastAsia="MS Mincho" w:hAnsi="Arial" w:cs="Calibri"/>
          <w:szCs w:val="24"/>
          <w:highlight w:val="yellow"/>
          <w:lang w:val="en-US"/>
        </w:rPr>
        <w:t xml:space="preserve"> in IoT-NTN TDD network and the impact should be evaluated.</w:t>
      </w:r>
    </w:p>
    <w:p w14:paraId="17E29C18" w14:textId="77777777" w:rsidR="0067346C" w:rsidRPr="0067346C" w:rsidRDefault="0067346C" w:rsidP="006C7A02">
      <w:pPr>
        <w:pStyle w:val="RAN4H3"/>
        <w:numPr>
          <w:ilvl w:val="0"/>
          <w:numId w:val="0"/>
        </w:numPr>
        <w:rPr>
          <w:lang w:val="en-US" w:eastAsia="ko-KR"/>
        </w:rPr>
      </w:pPr>
    </w:p>
    <w:p w14:paraId="05F6360A" w14:textId="3E74A713" w:rsidR="006C7A02" w:rsidRDefault="0067346C" w:rsidP="0067346C">
      <w:pPr>
        <w:pStyle w:val="RAN4proposal"/>
        <w:rPr>
          <w:lang w:eastAsia="ko-KR"/>
        </w:rPr>
      </w:pPr>
      <w:bookmarkStart w:id="7" w:name="_Toc194073721"/>
      <w:r>
        <w:rPr>
          <w:lang w:eastAsia="ko-KR"/>
        </w:rPr>
        <w:t>Wait for RAN1/2 progress related to the mismatch between (e)DRX cycle and the frame pattern.</w:t>
      </w:r>
      <w:bookmarkEnd w:id="7"/>
      <w:r>
        <w:rPr>
          <w:lang w:eastAsia="ko-KR"/>
        </w:rPr>
        <w:t xml:space="preserve"> </w:t>
      </w:r>
    </w:p>
    <w:p w14:paraId="084D3B21" w14:textId="77777777" w:rsidR="0067346C" w:rsidRDefault="0067346C" w:rsidP="0067346C">
      <w:pPr>
        <w:rPr>
          <w:lang w:eastAsia="ko-KR"/>
        </w:rPr>
      </w:pPr>
    </w:p>
    <w:p w14:paraId="1ACB06D7" w14:textId="77777777" w:rsidR="0067346C" w:rsidRPr="0067346C" w:rsidRDefault="0067346C" w:rsidP="0067346C">
      <w:pPr>
        <w:rPr>
          <w:lang w:eastAsia="ko-KR"/>
        </w:rPr>
      </w:pPr>
    </w:p>
    <w:p w14:paraId="29B3F55A" w14:textId="46A849BF" w:rsidR="006C7A02" w:rsidRDefault="0067346C" w:rsidP="0067346C">
      <w:pPr>
        <w:pStyle w:val="RAN4H2"/>
        <w:rPr>
          <w:lang w:eastAsia="ko-KR"/>
        </w:rPr>
      </w:pPr>
      <w:r>
        <w:rPr>
          <w:lang w:eastAsia="ko-KR"/>
        </w:rPr>
        <w:t xml:space="preserve">Cell Reselection. </w:t>
      </w:r>
    </w:p>
    <w:p w14:paraId="0ED6801A" w14:textId="54701F1D" w:rsidR="0078009F" w:rsidRDefault="0078009F" w:rsidP="0067346C">
      <w:pPr>
        <w:rPr>
          <w:rFonts w:cstheme="minorHAnsi"/>
        </w:rPr>
      </w:pPr>
      <w:r>
        <w:rPr>
          <w:rFonts w:cstheme="minorHAnsi"/>
        </w:rPr>
        <w:t xml:space="preserve">In Release 18, it was established that the cell reselection requirements are only applicable if the UE is provided with satellite assistance information for the </w:t>
      </w:r>
      <w:proofErr w:type="spellStart"/>
      <w:r>
        <w:rPr>
          <w:rFonts w:cstheme="minorHAnsi"/>
        </w:rPr>
        <w:t>neighbor</w:t>
      </w:r>
      <w:proofErr w:type="spellEnd"/>
      <w:r>
        <w:rPr>
          <w:rFonts w:cstheme="minorHAnsi"/>
        </w:rPr>
        <w:t xml:space="preserve"> cells in NGSO scenarios. The reason behind this agreement is that, due to the large differential doppler pre-compensation, the UE is not expected to find the </w:t>
      </w:r>
      <w:proofErr w:type="spellStart"/>
      <w:r>
        <w:rPr>
          <w:rFonts w:cstheme="minorHAnsi"/>
        </w:rPr>
        <w:t>neighbor</w:t>
      </w:r>
      <w:proofErr w:type="spellEnd"/>
      <w:r>
        <w:rPr>
          <w:rFonts w:cstheme="minorHAnsi"/>
        </w:rPr>
        <w:t xml:space="preserve"> cells in due time in the absence of further information that allows for the UE to find the </w:t>
      </w:r>
      <w:proofErr w:type="spellStart"/>
      <w:r>
        <w:rPr>
          <w:rFonts w:cstheme="minorHAnsi"/>
        </w:rPr>
        <w:t>neighbor</w:t>
      </w:r>
      <w:proofErr w:type="spellEnd"/>
      <w:r>
        <w:rPr>
          <w:rFonts w:cstheme="minorHAnsi"/>
        </w:rPr>
        <w:t xml:space="preserve"> satellite. </w:t>
      </w:r>
    </w:p>
    <w:p w14:paraId="1599FA25" w14:textId="77777777" w:rsidR="0078009F" w:rsidRDefault="0078009F" w:rsidP="0067346C">
      <w:pPr>
        <w:rPr>
          <w:rFonts w:cstheme="minorHAnsi"/>
        </w:rPr>
      </w:pPr>
      <w:r>
        <w:rPr>
          <w:rFonts w:cstheme="minorHAnsi"/>
        </w:rPr>
        <w:t xml:space="preserve">When the new TDD pattern is introduced in NTN, a cell active time in DL corresponds to less than 10% of the total operation time. Therefore, if the UE is not informed about the DL times of the said cell, it might not be capable of tracking (tuning) the measurements in time to find this cell within a reasonable window of time. Because of this, we think it should be clarified that the UE shall be provided with </w:t>
      </w:r>
      <w:proofErr w:type="spellStart"/>
      <w:r>
        <w:rPr>
          <w:rFonts w:cstheme="minorHAnsi"/>
        </w:rPr>
        <w:t>neighbor</w:t>
      </w:r>
      <w:proofErr w:type="spellEnd"/>
      <w:r>
        <w:rPr>
          <w:rFonts w:cstheme="minorHAnsi"/>
        </w:rPr>
        <w:t xml:space="preserve"> cell information relative to the active times. </w:t>
      </w:r>
    </w:p>
    <w:p w14:paraId="51B4FF70" w14:textId="33D4E193" w:rsidR="0078009F" w:rsidRDefault="0078009F" w:rsidP="0078009F">
      <w:pPr>
        <w:pStyle w:val="RAN4proposal"/>
      </w:pPr>
      <w:bookmarkStart w:id="8" w:name="_Toc194073722"/>
      <w:r>
        <w:t xml:space="preserve">The UE shall be informed about the active periods of the </w:t>
      </w:r>
      <w:proofErr w:type="spellStart"/>
      <w:r>
        <w:t>neighbor</w:t>
      </w:r>
      <w:proofErr w:type="spellEnd"/>
      <w:r>
        <w:t xml:space="preserve"> cells configured to be measured in the new TDD frame pattern.</w:t>
      </w:r>
      <w:bookmarkEnd w:id="8"/>
      <w:r>
        <w:t xml:space="preserve"> </w:t>
      </w:r>
    </w:p>
    <w:p w14:paraId="4FC9ACC0" w14:textId="38455376" w:rsidR="0067346C" w:rsidRDefault="0078009F" w:rsidP="0067346C">
      <w:pPr>
        <w:rPr>
          <w:rFonts w:cstheme="minorHAnsi"/>
        </w:rPr>
      </w:pPr>
      <w:r>
        <w:rPr>
          <w:rFonts w:cstheme="minorHAnsi"/>
        </w:rPr>
        <w:t>Another problem is related to the scaling factors used in N</w:t>
      </w:r>
      <w:r w:rsidR="0067346C" w:rsidRPr="00E64FA5">
        <w:rPr>
          <w:rFonts w:cstheme="minorHAnsi"/>
        </w:rPr>
        <w:t xml:space="preserve">TN </w:t>
      </w:r>
      <w:r>
        <w:rPr>
          <w:rFonts w:cstheme="minorHAnsi"/>
        </w:rPr>
        <w:t>when adapted to the new frame pattern</w:t>
      </w:r>
      <w:r w:rsidR="0067346C">
        <w:rPr>
          <w:rFonts w:cstheme="minorHAnsi"/>
        </w:rPr>
        <w:t xml:space="preserve">, because </w:t>
      </w:r>
      <w:r w:rsidR="0067346C" w:rsidRPr="00E64FA5">
        <w:rPr>
          <w:rFonts w:cstheme="minorHAnsi"/>
        </w:rPr>
        <w:t xml:space="preserve">the Doppler may be significantly different between serving and </w:t>
      </w:r>
      <w:proofErr w:type="spellStart"/>
      <w:r w:rsidR="0067346C" w:rsidRPr="00E64FA5">
        <w:rPr>
          <w:rFonts w:cstheme="minorHAnsi"/>
        </w:rPr>
        <w:t>neighbor</w:t>
      </w:r>
      <w:proofErr w:type="spellEnd"/>
      <w:r w:rsidR="0067346C" w:rsidRPr="00E64FA5">
        <w:rPr>
          <w:rFonts w:cstheme="minorHAnsi"/>
        </w:rPr>
        <w:t xml:space="preserve"> satellites in LEO (NGSO) scenarios, the Cell Reselection measurements have been adapted to account for this difference.  In the Cell Reselection requirements, the total time for the UE to complete the measurements is scaled by </w:t>
      </w:r>
      <w:r w:rsidR="0067346C">
        <w:rPr>
          <w:rFonts w:cstheme="minorHAnsi"/>
        </w:rPr>
        <w:t>K</w:t>
      </w:r>
      <w:r w:rsidR="0067346C" w:rsidRPr="0078009F">
        <w:rPr>
          <w:rFonts w:cstheme="minorHAnsi"/>
          <w:vertAlign w:val="subscript"/>
        </w:rPr>
        <w:t>satellite</w:t>
      </w:r>
      <w:r w:rsidR="0067346C">
        <w:rPr>
          <w:rFonts w:cstheme="minorHAnsi"/>
        </w:rPr>
        <w:t>, where K</w:t>
      </w:r>
      <w:r w:rsidR="0067346C" w:rsidRPr="0078009F">
        <w:rPr>
          <w:rFonts w:cstheme="minorHAnsi"/>
          <w:vertAlign w:val="subscript"/>
        </w:rPr>
        <w:t>satellite</w:t>
      </w:r>
      <w:r w:rsidR="0067346C">
        <w:rPr>
          <w:rFonts w:cstheme="minorHAnsi"/>
        </w:rPr>
        <w:t xml:space="preserve"> is defined as </w:t>
      </w:r>
      <w:r w:rsidR="0067346C" w:rsidRPr="0067346C">
        <w:rPr>
          <w:rFonts w:cstheme="minorHAnsi"/>
        </w:rPr>
        <w:t>the scaling factor for measurements correspond</w:t>
      </w:r>
      <w:r w:rsidR="00E33098">
        <w:rPr>
          <w:rFonts w:cstheme="minorHAnsi"/>
        </w:rPr>
        <w:t>ing</w:t>
      </w:r>
      <w:r w:rsidR="0067346C" w:rsidRPr="0067346C">
        <w:rPr>
          <w:rFonts w:cstheme="minorHAnsi"/>
        </w:rPr>
        <w:t xml:space="preserve"> to multiple NGSO satellites.</w:t>
      </w:r>
      <w:r w:rsidR="0067346C">
        <w:rPr>
          <w:rFonts w:cstheme="minorHAnsi"/>
        </w:rPr>
        <w:t xml:space="preserve"> </w:t>
      </w:r>
    </w:p>
    <w:p w14:paraId="25DE243E" w14:textId="3538554D" w:rsidR="0078009F" w:rsidRDefault="0078009F" w:rsidP="0078009F">
      <w:r>
        <w:t>The scaling factor was introduced to account for the fact that, because of the significant Doppler difference between serving and target satellites to be measured, the UE can either measure one or the other, which would lead to “shared” measure</w:t>
      </w:r>
      <w:r w:rsidR="00014104">
        <w:t>ment</w:t>
      </w:r>
      <w:r>
        <w:t xml:space="preserve"> opportunities. In this sense it makes sense to expand the time to detect (and to measure, and to evaluate) a cell, based on the fact that the measurement opportunities are split. </w:t>
      </w:r>
    </w:p>
    <w:p w14:paraId="562132D1" w14:textId="4D2D2E55" w:rsidR="0078009F" w:rsidRDefault="0078009F" w:rsidP="0078009F">
      <w:r>
        <w:t xml:space="preserve">However, in the new TDD frame pattern, this no longer happens if the cells to be measured belong to non-overlapping DL transmission opportunities. For example, in </w:t>
      </w:r>
      <w:r>
        <w:fldChar w:fldCharType="begin"/>
      </w:r>
      <w:r>
        <w:instrText xml:space="preserve"> REF _Ref193893093 \h </w:instrText>
      </w:r>
      <w:r>
        <w:fldChar w:fldCharType="separate"/>
      </w:r>
      <w:r>
        <w:t xml:space="preserve">Figure </w:t>
      </w:r>
      <w:r>
        <w:rPr>
          <w:noProof/>
        </w:rPr>
        <w:t>1</w:t>
      </w:r>
      <w:r>
        <w:fldChar w:fldCharType="end"/>
      </w:r>
      <w:r>
        <w:t xml:space="preserve">, consider a UE that is allocated to DL-UL 1 on the serving satellite, but enabled to also measure DL 2 of the </w:t>
      </w:r>
      <w:proofErr w:type="spellStart"/>
      <w:r>
        <w:t>neighbor</w:t>
      </w:r>
      <w:proofErr w:type="spellEnd"/>
      <w:r>
        <w:t xml:space="preserve"> satellite. From this image, it is clear that there is no need to split the opportunities across the different satellites. </w:t>
      </w:r>
    </w:p>
    <w:p w14:paraId="3D94D9C8" w14:textId="77777777" w:rsidR="0078009F" w:rsidRDefault="0078009F" w:rsidP="0078009F"/>
    <w:p w14:paraId="24185B10" w14:textId="77777777" w:rsidR="0078009F" w:rsidRDefault="0078009F" w:rsidP="0078009F">
      <w:pPr>
        <w:keepNext/>
      </w:pPr>
      <w:r>
        <w:rPr>
          <w:noProof/>
        </w:rPr>
        <w:drawing>
          <wp:inline distT="0" distB="0" distL="0" distR="0" wp14:anchorId="56C27C77" wp14:editId="1D56E38A">
            <wp:extent cx="5504642" cy="1363219"/>
            <wp:effectExtent l="0" t="0" r="1270" b="8890"/>
            <wp:docPr id="1665471360"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5471360" name="Picture 1" descr="A screenshot of a computer screen&#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18392" cy="1366624"/>
                    </a:xfrm>
                    <a:prstGeom prst="rect">
                      <a:avLst/>
                    </a:prstGeom>
                    <a:noFill/>
                  </pic:spPr>
                </pic:pic>
              </a:graphicData>
            </a:graphic>
          </wp:inline>
        </w:drawing>
      </w:r>
    </w:p>
    <w:p w14:paraId="52A76307" w14:textId="73ABC3FE" w:rsidR="0078009F" w:rsidRDefault="0078009F" w:rsidP="0078009F">
      <w:pPr>
        <w:pStyle w:val="Caption"/>
        <w:jc w:val="left"/>
      </w:pPr>
      <w:bookmarkStart w:id="9" w:name="_Ref193893093"/>
      <w:r>
        <w:t xml:space="preserve">Figure </w:t>
      </w:r>
      <w:r>
        <w:fldChar w:fldCharType="begin"/>
      </w:r>
      <w:r>
        <w:instrText xml:space="preserve"> SEQ Figure \* ARABIC </w:instrText>
      </w:r>
      <w:r>
        <w:fldChar w:fldCharType="separate"/>
      </w:r>
      <w:r>
        <w:rPr>
          <w:noProof/>
        </w:rPr>
        <w:t>1</w:t>
      </w:r>
      <w:r>
        <w:fldChar w:fldCharType="end"/>
      </w:r>
      <w:bookmarkEnd w:id="9"/>
      <w:r>
        <w:fldChar w:fldCharType="begin"/>
      </w:r>
      <w:r>
        <w:instrText xml:space="preserve"> REF _Ref193893093 \h </w:instrText>
      </w:r>
      <w:r>
        <w:fldChar w:fldCharType="separate"/>
      </w:r>
      <w:r>
        <w:fldChar w:fldCharType="end"/>
      </w:r>
    </w:p>
    <w:p w14:paraId="7A8EDAFB" w14:textId="59925F48" w:rsidR="0078009F" w:rsidRDefault="0078009F" w:rsidP="0078009F">
      <w:pPr>
        <w:pStyle w:val="Caption"/>
      </w:pPr>
      <w:r>
        <w:t>Figure 1</w:t>
      </w:r>
    </w:p>
    <w:p w14:paraId="5573CE69" w14:textId="09C1280C" w:rsidR="0078009F" w:rsidRDefault="0078009F" w:rsidP="0078009F">
      <w:pPr>
        <w:pStyle w:val="RAN4proposal"/>
      </w:pPr>
      <w:bookmarkStart w:id="10" w:name="_Toc194073723"/>
      <w:r>
        <w:lastRenderedPageBreak/>
        <w:t xml:space="preserve">Adopt Ksatellite equal to 1 for the cells measured in DL opportunities of a </w:t>
      </w:r>
      <w:proofErr w:type="spellStart"/>
      <w:r>
        <w:t>neighbor</w:t>
      </w:r>
      <w:proofErr w:type="spellEnd"/>
      <w:r>
        <w:t xml:space="preserve"> satellite that </w:t>
      </w:r>
      <w:r w:rsidR="008D1DF4">
        <w:t xml:space="preserve">are in </w:t>
      </w:r>
      <w:r>
        <w:t>non-overlapping with DL opportunities to be measured in the serving satellite.</w:t>
      </w:r>
      <w:bookmarkEnd w:id="10"/>
      <w:r>
        <w:t xml:space="preserve"> </w:t>
      </w:r>
    </w:p>
    <w:p w14:paraId="531F28D0" w14:textId="77777777" w:rsidR="0067346C" w:rsidRDefault="0067346C" w:rsidP="0067346C">
      <w:pPr>
        <w:rPr>
          <w:lang w:eastAsia="ko-KR"/>
        </w:rPr>
      </w:pPr>
    </w:p>
    <w:p w14:paraId="67DDCD0D" w14:textId="6AB1FCAD" w:rsidR="008D1DF4" w:rsidRDefault="008D1DF4" w:rsidP="007D215D">
      <w:pPr>
        <w:pStyle w:val="RAN4H3"/>
        <w:rPr>
          <w:lang w:eastAsia="ko-KR"/>
        </w:rPr>
      </w:pPr>
      <w:r>
        <w:rPr>
          <w:lang w:eastAsia="ko-KR"/>
        </w:rPr>
        <w:t xml:space="preserve">On the scaling factor related to the punctured frame pattern. </w:t>
      </w:r>
    </w:p>
    <w:p w14:paraId="70020B4E" w14:textId="249DF6C2" w:rsidR="008D1DF4" w:rsidRDefault="008D1DF4" w:rsidP="008D1DF4">
      <w:pPr>
        <w:rPr>
          <w:lang w:eastAsia="ko-KR"/>
        </w:rPr>
      </w:pPr>
      <w:r>
        <w:rPr>
          <w:lang w:eastAsia="ko-KR"/>
        </w:rPr>
        <w:t xml:space="preserve">There is also some consideration on whether there is a need to scale the </w:t>
      </w:r>
      <w:r w:rsidR="005353EF">
        <w:rPr>
          <w:lang w:eastAsia="ko-KR"/>
        </w:rPr>
        <w:t xml:space="preserve">time to detect/measure/evaluate due to the fact that there are less PSS/SSS opportunities for the UE to measure for the same amount of time (1 every 90 </w:t>
      </w:r>
      <w:proofErr w:type="spellStart"/>
      <w:r w:rsidR="005353EF">
        <w:rPr>
          <w:lang w:eastAsia="ko-KR"/>
        </w:rPr>
        <w:t>ms</w:t>
      </w:r>
      <w:proofErr w:type="spellEnd"/>
      <w:r w:rsidR="005353EF">
        <w:rPr>
          <w:lang w:eastAsia="ko-KR"/>
        </w:rPr>
        <w:t xml:space="preserve"> instead of 1 every 10 </w:t>
      </w:r>
      <w:proofErr w:type="spellStart"/>
      <w:r w:rsidR="005353EF">
        <w:rPr>
          <w:lang w:eastAsia="ko-KR"/>
        </w:rPr>
        <w:t>ms</w:t>
      </w:r>
      <w:proofErr w:type="spellEnd"/>
      <w:r w:rsidR="00285214">
        <w:rPr>
          <w:lang w:eastAsia="ko-KR"/>
        </w:rPr>
        <w:t xml:space="preserve"> (PSS)</w:t>
      </w:r>
      <w:r w:rsidR="00352F6D">
        <w:rPr>
          <w:lang w:eastAsia="ko-KR"/>
        </w:rPr>
        <w:t xml:space="preserve"> or 1 every 20 </w:t>
      </w:r>
      <w:proofErr w:type="spellStart"/>
      <w:r w:rsidR="00352F6D">
        <w:rPr>
          <w:lang w:eastAsia="ko-KR"/>
        </w:rPr>
        <w:t>ms</w:t>
      </w:r>
      <w:proofErr w:type="spellEnd"/>
      <w:r w:rsidR="00285214">
        <w:rPr>
          <w:lang w:eastAsia="ko-KR"/>
        </w:rPr>
        <w:t>(SSS)</w:t>
      </w:r>
      <w:r w:rsidR="005353EF">
        <w:rPr>
          <w:lang w:eastAsia="ko-KR"/>
        </w:rPr>
        <w:t>). However, the current numbers on the specification were based on simulation results back in Release 13. For this case the number of DRX cycles used to define the measurement requirements assumed that the number of instances of NPSS and NSSS</w:t>
      </w:r>
      <w:r w:rsidR="007D215D">
        <w:rPr>
          <w:lang w:eastAsia="ko-KR"/>
        </w:rPr>
        <w:t xml:space="preserve"> per DRX cycle is equal to </w:t>
      </w:r>
      <w:r w:rsidR="007D215D">
        <w:rPr>
          <w:lang w:eastAsia="ko-KR"/>
        </w:rPr>
        <w:fldChar w:fldCharType="begin"/>
      </w:r>
      <w:r w:rsidR="007D215D">
        <w:rPr>
          <w:lang w:eastAsia="ko-KR"/>
        </w:rPr>
        <w:instrText xml:space="preserve"> REF _Ref193896029 \r \h </w:instrText>
      </w:r>
      <w:r w:rsidR="007D215D">
        <w:rPr>
          <w:lang w:eastAsia="ko-KR"/>
        </w:rPr>
      </w:r>
      <w:r w:rsidR="007D215D">
        <w:rPr>
          <w:lang w:eastAsia="ko-KR"/>
        </w:rPr>
        <w:fldChar w:fldCharType="separate"/>
      </w:r>
      <w:r w:rsidR="007D215D">
        <w:rPr>
          <w:lang w:eastAsia="ko-KR"/>
        </w:rPr>
        <w:t>[5]</w:t>
      </w:r>
      <w:r w:rsidR="007D215D">
        <w:rPr>
          <w:lang w:eastAsia="ko-KR"/>
        </w:rPr>
        <w:fldChar w:fldCharType="end"/>
      </w:r>
      <w:r w:rsidR="007D215D">
        <w:rPr>
          <w:lang w:eastAsia="ko-KR"/>
        </w:rPr>
        <w:t xml:space="preserve"> :</w:t>
      </w:r>
    </w:p>
    <w:p w14:paraId="5CE9C66F" w14:textId="354706AA" w:rsidR="007D215D" w:rsidRPr="007D215D" w:rsidRDefault="007D215D" w:rsidP="007D215D">
      <w:pPr>
        <w:numPr>
          <w:ilvl w:val="1"/>
          <w:numId w:val="34"/>
        </w:numPr>
        <w:rPr>
          <w:lang w:eastAsia="ko-KR"/>
        </w:rPr>
      </w:pPr>
      <w:r>
        <w:rPr>
          <w:lang w:eastAsia="ko-KR"/>
        </w:rPr>
        <w:t xml:space="preserve">DRX Cycle </w:t>
      </w:r>
      <w:r w:rsidRPr="007D215D">
        <w:rPr>
          <w:lang w:eastAsia="ko-KR"/>
        </w:rPr>
        <w:t>1.28s: 5</w:t>
      </w:r>
    </w:p>
    <w:p w14:paraId="0F6E75EE" w14:textId="3BA39880" w:rsidR="007D215D" w:rsidRPr="007D215D" w:rsidRDefault="007D215D" w:rsidP="007D215D">
      <w:pPr>
        <w:numPr>
          <w:ilvl w:val="1"/>
          <w:numId w:val="34"/>
        </w:numPr>
        <w:rPr>
          <w:lang w:eastAsia="ko-KR"/>
        </w:rPr>
      </w:pPr>
      <w:r>
        <w:rPr>
          <w:lang w:eastAsia="ko-KR"/>
        </w:rPr>
        <w:t xml:space="preserve">DRX Cycle: </w:t>
      </w:r>
      <w:r w:rsidRPr="007D215D">
        <w:rPr>
          <w:lang w:eastAsia="ko-KR"/>
        </w:rPr>
        <w:t>2.56s: 10</w:t>
      </w:r>
    </w:p>
    <w:p w14:paraId="1BAEEAA1" w14:textId="0F90DC4C" w:rsidR="007D215D" w:rsidRPr="007D215D" w:rsidRDefault="007D215D" w:rsidP="007D215D">
      <w:pPr>
        <w:numPr>
          <w:ilvl w:val="1"/>
          <w:numId w:val="34"/>
        </w:numPr>
        <w:rPr>
          <w:lang w:eastAsia="ko-KR"/>
        </w:rPr>
      </w:pPr>
      <w:r>
        <w:rPr>
          <w:lang w:eastAsia="ko-KR"/>
        </w:rPr>
        <w:t xml:space="preserve">DRX Cycle </w:t>
      </w:r>
      <w:r w:rsidRPr="007D215D">
        <w:rPr>
          <w:lang w:eastAsia="ko-KR"/>
        </w:rPr>
        <w:t>5.12s: 10</w:t>
      </w:r>
    </w:p>
    <w:p w14:paraId="206BDAB0" w14:textId="5F96EC88" w:rsidR="007D215D" w:rsidRPr="007D215D" w:rsidRDefault="007D215D" w:rsidP="007D215D">
      <w:pPr>
        <w:numPr>
          <w:ilvl w:val="1"/>
          <w:numId w:val="34"/>
        </w:numPr>
        <w:rPr>
          <w:lang w:val="en-US" w:eastAsia="ko-KR"/>
        </w:rPr>
      </w:pPr>
      <w:r>
        <w:rPr>
          <w:lang w:eastAsia="ko-KR"/>
        </w:rPr>
        <w:t xml:space="preserve">DRX Cycle: </w:t>
      </w:r>
      <w:r w:rsidRPr="007D215D">
        <w:rPr>
          <w:lang w:eastAsia="ko-KR"/>
        </w:rPr>
        <w:t>10.24s: 20</w:t>
      </w:r>
    </w:p>
    <w:p w14:paraId="20B0BBF2" w14:textId="6A8CDC46" w:rsidR="007D215D" w:rsidRDefault="007D215D" w:rsidP="008D1DF4">
      <w:pPr>
        <w:rPr>
          <w:lang w:eastAsia="ko-KR"/>
        </w:rPr>
      </w:pPr>
      <w:r>
        <w:rPr>
          <w:lang w:eastAsia="ko-KR"/>
        </w:rPr>
        <w:t xml:space="preserve">In the 1.28 s cycle, there are at least 14 occasions of DL transmission where the UE might be capable of acquiring the NPSS and NSSS, which is more than the minimum assumption above. Assuming this is the most stringent case, then, </w:t>
      </w:r>
    </w:p>
    <w:p w14:paraId="3A099FFB" w14:textId="44880920" w:rsidR="007D215D" w:rsidRDefault="007D215D" w:rsidP="007D215D">
      <w:pPr>
        <w:pStyle w:val="RAN4observation0"/>
        <w:rPr>
          <w:lang w:eastAsia="ko-KR"/>
        </w:rPr>
      </w:pPr>
      <w:bookmarkStart w:id="11" w:name="_Toc194073724"/>
      <w:r>
        <w:rPr>
          <w:lang w:eastAsia="ko-KR"/>
        </w:rPr>
        <w:t>The UE has enough opportunities to acquire NPSS and NSSS within a DRX Cycle, according to the simulation assumptions.</w:t>
      </w:r>
      <w:bookmarkEnd w:id="11"/>
      <w:r>
        <w:rPr>
          <w:lang w:eastAsia="ko-KR"/>
        </w:rPr>
        <w:t xml:space="preserve"> </w:t>
      </w:r>
    </w:p>
    <w:p w14:paraId="05C9CE44" w14:textId="77777777" w:rsidR="007D215D" w:rsidRPr="007D215D" w:rsidRDefault="007D215D" w:rsidP="007D215D">
      <w:pPr>
        <w:rPr>
          <w:lang w:eastAsia="ko-KR"/>
        </w:rPr>
      </w:pPr>
    </w:p>
    <w:p w14:paraId="07DC078C" w14:textId="78A783AB" w:rsidR="006A3544" w:rsidRDefault="007D215D" w:rsidP="007D215D">
      <w:pPr>
        <w:pStyle w:val="RAN4H2"/>
        <w:rPr>
          <w:rFonts w:eastAsia="SimSun"/>
          <w:lang w:eastAsia="zh-CN"/>
        </w:rPr>
      </w:pPr>
      <w:r>
        <w:rPr>
          <w:rFonts w:eastAsia="SimSun"/>
          <w:lang w:eastAsia="zh-CN"/>
        </w:rPr>
        <w:t>Cell Measurements in Connected Mode</w:t>
      </w:r>
    </w:p>
    <w:p w14:paraId="544FC8AA" w14:textId="489FD9EE" w:rsidR="007D215D" w:rsidRDefault="007D215D" w:rsidP="007D215D">
      <w:pPr>
        <w:rPr>
          <w:lang w:eastAsia="zh-CN"/>
        </w:rPr>
      </w:pPr>
      <w:r>
        <w:rPr>
          <w:lang w:eastAsia="zh-CN"/>
        </w:rPr>
        <w:t xml:space="preserve">Similarly to the issue discussed in clause 2.2.1 of the present document, there were also discussions related to the cell measurement in connected mode, where the proposals were to extend the measurement period due to the diminished number of opportunities for the UE to acquire the NPSS and NSSS of the target cell. </w:t>
      </w:r>
    </w:p>
    <w:tbl>
      <w:tblPr>
        <w:tblStyle w:val="TableGrid"/>
        <w:tblW w:w="0" w:type="auto"/>
        <w:tblLook w:val="04A0" w:firstRow="1" w:lastRow="0" w:firstColumn="1" w:lastColumn="0" w:noHBand="0" w:noVBand="1"/>
      </w:tblPr>
      <w:tblGrid>
        <w:gridCol w:w="9617"/>
      </w:tblGrid>
      <w:tr w:rsidR="00D01167" w14:paraId="28303434" w14:textId="77777777" w:rsidTr="00D01167">
        <w:tc>
          <w:tcPr>
            <w:tcW w:w="9617" w:type="dxa"/>
          </w:tcPr>
          <w:p w14:paraId="4F0B599E" w14:textId="77777777" w:rsidR="00D01167" w:rsidRPr="006A3544" w:rsidRDefault="00D01167" w:rsidP="00D01167">
            <w:pPr>
              <w:spacing w:after="180" w:line="276" w:lineRule="auto"/>
              <w:outlineLvl w:val="1"/>
              <w:rPr>
                <w:rFonts w:eastAsia="SimSun" w:cs="Times New Roman"/>
                <w:b/>
                <w:szCs w:val="20"/>
                <w:u w:val="single"/>
                <w:lang w:eastAsia="ko-KR"/>
              </w:rPr>
            </w:pPr>
            <w:r w:rsidRPr="006A3544">
              <w:rPr>
                <w:rFonts w:eastAsia="SimSun" w:cs="Times New Roman"/>
                <w:b/>
                <w:szCs w:val="20"/>
                <w:u w:val="single"/>
                <w:lang w:eastAsia="ko-KR"/>
              </w:rPr>
              <w:t xml:space="preserve">Issue 2: </w:t>
            </w:r>
            <w:r w:rsidRPr="006A3544">
              <w:rPr>
                <w:rFonts w:eastAsia="SimSun" w:cs="Times New Roman"/>
                <w:b/>
                <w:bCs/>
                <w:szCs w:val="20"/>
                <w:u w:val="single"/>
                <w:lang w:eastAsia="zh-CN"/>
              </w:rPr>
              <w:t>Cell measurement in connected mode (8.14A)</w:t>
            </w:r>
          </w:p>
          <w:p w14:paraId="0179DFB0" w14:textId="77777777" w:rsidR="00D01167" w:rsidRPr="006A3544" w:rsidRDefault="00D01167" w:rsidP="00D01167">
            <w:pPr>
              <w:snapToGrid w:val="0"/>
              <w:spacing w:after="120"/>
              <w:rPr>
                <w:rFonts w:eastAsia="SimSun" w:cs="Times New Roman"/>
                <w:szCs w:val="20"/>
                <w:lang w:eastAsia="ja-JP"/>
              </w:rPr>
            </w:pPr>
            <w:r w:rsidRPr="006A3544">
              <w:rPr>
                <w:rFonts w:eastAsia="SimSun" w:cs="Times New Roman"/>
                <w:szCs w:val="20"/>
                <w:highlight w:val="yellow"/>
                <w:lang w:eastAsia="ja-JP"/>
              </w:rPr>
              <w:t>Further discuss the following</w:t>
            </w:r>
            <w:r w:rsidRPr="006A3544">
              <w:rPr>
                <w:rFonts w:eastAsia="SimSun" w:cs="Times New Roman"/>
                <w:szCs w:val="20"/>
                <w:lang w:eastAsia="ja-JP"/>
              </w:rPr>
              <w:t>:</w:t>
            </w:r>
          </w:p>
          <w:p w14:paraId="3B871BE2" w14:textId="77777777" w:rsidR="00D01167" w:rsidRPr="006A3544" w:rsidRDefault="00D01167" w:rsidP="00D01167">
            <w:pPr>
              <w:snapToGrid w:val="0"/>
              <w:spacing w:after="120"/>
              <w:rPr>
                <w:rFonts w:eastAsia="SimSun" w:cs="Times New Roman"/>
                <w:szCs w:val="20"/>
                <w:lang w:eastAsia="ja-JP"/>
              </w:rPr>
            </w:pPr>
            <w:r w:rsidRPr="006A3544">
              <w:rPr>
                <w:rFonts w:eastAsia="SimSun" w:cs="Times New Roman"/>
                <w:szCs w:val="20"/>
                <w:lang w:eastAsia="ja-JP"/>
              </w:rPr>
              <w:t>For the cell measurement period in connected mode for TDD NB-IoT in NTN,</w:t>
            </w:r>
          </w:p>
          <w:p w14:paraId="494588BD" w14:textId="77777777" w:rsidR="00D01167" w:rsidRPr="006A3544" w:rsidRDefault="00D01167" w:rsidP="00D01167">
            <w:pPr>
              <w:numPr>
                <w:ilvl w:val="0"/>
                <w:numId w:val="29"/>
              </w:numPr>
              <w:snapToGrid w:val="0"/>
              <w:spacing w:after="120" w:line="276" w:lineRule="auto"/>
              <w:ind w:left="720"/>
              <w:rPr>
                <w:rFonts w:eastAsia="Malgun Gothic" w:cs="Times New Roman"/>
                <w:szCs w:val="21"/>
                <w:lang w:eastAsia="ko-KR"/>
              </w:rPr>
            </w:pPr>
            <w:r w:rsidRPr="006A3544">
              <w:rPr>
                <w:rFonts w:eastAsia="Malgun Gothic" w:cs="Times New Roman"/>
                <w:szCs w:val="21"/>
                <w:lang w:eastAsia="ko-KR"/>
              </w:rPr>
              <w:t>For intra-frequency measurement, the delay requirements shall be scaled by N=9</w:t>
            </w:r>
          </w:p>
          <w:p w14:paraId="0B9BA596" w14:textId="77777777" w:rsidR="00D01167" w:rsidRPr="006A3544" w:rsidRDefault="00D01167" w:rsidP="00D01167">
            <w:pPr>
              <w:numPr>
                <w:ilvl w:val="0"/>
                <w:numId w:val="29"/>
              </w:numPr>
              <w:snapToGrid w:val="0"/>
              <w:spacing w:after="120" w:line="276" w:lineRule="auto"/>
              <w:ind w:left="720"/>
              <w:rPr>
                <w:rFonts w:eastAsia="Malgun Gothic" w:cs="Times New Roman"/>
                <w:szCs w:val="21"/>
                <w:lang w:eastAsia="ko-KR"/>
              </w:rPr>
            </w:pPr>
            <w:r w:rsidRPr="006A3544">
              <w:rPr>
                <w:rFonts w:eastAsia="Malgun Gothic" w:cs="Times New Roman"/>
                <w:szCs w:val="21"/>
                <w:lang w:eastAsia="ko-KR"/>
              </w:rPr>
              <w:t>For inter-frequency measurement, the minimum length of measurement occasions is defined as the max {existing value, periodicity of corresponding RS}.</w:t>
            </w:r>
          </w:p>
          <w:p w14:paraId="6D2C26AF" w14:textId="77777777" w:rsidR="00D01167" w:rsidRPr="006A3544" w:rsidRDefault="00D01167" w:rsidP="00D01167">
            <w:pPr>
              <w:numPr>
                <w:ilvl w:val="0"/>
                <w:numId w:val="29"/>
              </w:numPr>
              <w:snapToGrid w:val="0"/>
              <w:spacing w:after="120" w:line="276" w:lineRule="auto"/>
              <w:ind w:left="720"/>
              <w:rPr>
                <w:rFonts w:eastAsia="Malgun Gothic" w:cs="Times New Roman"/>
                <w:szCs w:val="21"/>
                <w:lang w:eastAsia="ko-KR"/>
              </w:rPr>
            </w:pPr>
            <w:r w:rsidRPr="006A3544">
              <w:rPr>
                <w:rFonts w:eastAsia="Malgun Gothic" w:cs="Times New Roman"/>
                <w:szCs w:val="21"/>
                <w:lang w:eastAsia="ko-KR"/>
              </w:rPr>
              <w:t>Revise the existing cell measurements condition “at least one 1 DL subframe per radio frame has to be available at the UE during the measurement period.”</w:t>
            </w:r>
          </w:p>
          <w:p w14:paraId="51D4F472" w14:textId="77777777" w:rsidR="00D01167" w:rsidRPr="006A3544" w:rsidRDefault="00D01167" w:rsidP="00D01167">
            <w:pPr>
              <w:numPr>
                <w:ilvl w:val="0"/>
                <w:numId w:val="29"/>
              </w:numPr>
              <w:snapToGrid w:val="0"/>
              <w:spacing w:after="120" w:line="276" w:lineRule="auto"/>
              <w:ind w:left="720"/>
              <w:rPr>
                <w:rFonts w:eastAsia="Malgun Gothic" w:cs="Times New Roman"/>
                <w:szCs w:val="21"/>
                <w:lang w:eastAsia="ko-KR"/>
              </w:rPr>
            </w:pPr>
            <w:r w:rsidRPr="006A3544">
              <w:rPr>
                <w:rFonts w:eastAsia="Malgun Gothic" w:cs="Times New Roman"/>
                <w:szCs w:val="21"/>
                <w:lang w:eastAsia="ko-KR"/>
              </w:rPr>
              <w:t>Serving cell measurement requirements apply provided the UE is provided with the configuration about the “active DL” periods.</w:t>
            </w:r>
          </w:p>
          <w:p w14:paraId="7939599F" w14:textId="77777777" w:rsidR="00D01167" w:rsidRDefault="00D01167" w:rsidP="007D215D">
            <w:pPr>
              <w:rPr>
                <w:lang w:eastAsia="zh-CN"/>
              </w:rPr>
            </w:pPr>
          </w:p>
        </w:tc>
      </w:tr>
    </w:tbl>
    <w:p w14:paraId="753BA062" w14:textId="77777777" w:rsidR="00D01167" w:rsidRDefault="00D01167" w:rsidP="007D215D">
      <w:pPr>
        <w:rPr>
          <w:lang w:eastAsia="zh-CN"/>
        </w:rPr>
      </w:pPr>
    </w:p>
    <w:p w14:paraId="51C3547E" w14:textId="75385E5D" w:rsidR="001F4F52" w:rsidRDefault="00D01167" w:rsidP="001F4F52">
      <w:pPr>
        <w:pStyle w:val="RAN4H3"/>
        <w:rPr>
          <w:lang w:eastAsia="zh-CN"/>
        </w:rPr>
      </w:pPr>
      <w:r>
        <w:rPr>
          <w:lang w:eastAsia="zh-CN"/>
        </w:rPr>
        <w:t>Intra-frequency measurements</w:t>
      </w:r>
    </w:p>
    <w:p w14:paraId="3224A182" w14:textId="567462CE" w:rsidR="00D01167" w:rsidRPr="006B0709" w:rsidRDefault="00D01167" w:rsidP="006B0709">
      <w:pPr>
        <w:rPr>
          <w:b/>
          <w:bCs/>
          <w:u w:val="single"/>
          <w:lang w:eastAsia="zh-CN"/>
        </w:rPr>
      </w:pPr>
      <w:r w:rsidRPr="006B0709">
        <w:rPr>
          <w:b/>
          <w:bCs/>
          <w:u w:val="single"/>
          <w:lang w:eastAsia="zh-CN"/>
        </w:rPr>
        <w:t>DRX not configured</w:t>
      </w:r>
    </w:p>
    <w:p w14:paraId="76113422" w14:textId="77777777" w:rsidR="00D01167" w:rsidRDefault="00D01167" w:rsidP="00D01167">
      <w:pPr>
        <w:rPr>
          <w:lang w:eastAsia="zh-CN"/>
        </w:rPr>
      </w:pPr>
      <w:r>
        <w:rPr>
          <w:lang w:eastAsia="zh-CN"/>
        </w:rPr>
        <w:t>When the DRX is not configured, the requirements are:</w:t>
      </w:r>
    </w:p>
    <w:p w14:paraId="37DB20A3" w14:textId="1C09FB2B" w:rsidR="00D01167" w:rsidRDefault="00D01167" w:rsidP="001F4F52">
      <w:pPr>
        <w:pStyle w:val="ListParagraph"/>
        <w:numPr>
          <w:ilvl w:val="0"/>
          <w:numId w:val="36"/>
        </w:numPr>
        <w:rPr>
          <w:lang w:eastAsia="zh-CN"/>
        </w:rPr>
      </w:pPr>
      <w:proofErr w:type="spellStart"/>
      <w:r w:rsidRPr="00D01167">
        <w:rPr>
          <w:lang w:eastAsia="zh-CN"/>
        </w:rPr>
        <w:t>Tdetect_intra</w:t>
      </w:r>
      <w:proofErr w:type="spellEnd"/>
      <w:r w:rsidRPr="00D01167">
        <w:rPr>
          <w:lang w:eastAsia="zh-CN"/>
        </w:rPr>
        <w:t xml:space="preserve"> = 1400 </w:t>
      </w:r>
      <w:proofErr w:type="spellStart"/>
      <w:r w:rsidRPr="00D01167">
        <w:rPr>
          <w:lang w:eastAsia="zh-CN"/>
        </w:rPr>
        <w:t>ms</w:t>
      </w:r>
      <w:proofErr w:type="spellEnd"/>
      <w:r w:rsidRPr="00D01167">
        <w:rPr>
          <w:lang w:eastAsia="zh-CN"/>
        </w:rPr>
        <w:t xml:space="preserve"> </w:t>
      </w:r>
    </w:p>
    <w:p w14:paraId="02F228B3" w14:textId="49302F26" w:rsidR="00D01167" w:rsidRDefault="00D01167" w:rsidP="001F4F52">
      <w:pPr>
        <w:pStyle w:val="ListParagraph"/>
        <w:numPr>
          <w:ilvl w:val="0"/>
          <w:numId w:val="36"/>
        </w:numPr>
        <w:rPr>
          <w:lang w:eastAsia="zh-CN"/>
        </w:rPr>
      </w:pPr>
      <w:proofErr w:type="spellStart"/>
      <w:r w:rsidRPr="00D01167">
        <w:rPr>
          <w:lang w:eastAsia="zh-CN"/>
        </w:rPr>
        <w:t>Tmeasure_intra</w:t>
      </w:r>
      <w:proofErr w:type="spellEnd"/>
      <w:r w:rsidRPr="00D01167">
        <w:rPr>
          <w:lang w:eastAsia="zh-CN"/>
        </w:rPr>
        <w:t xml:space="preserve"> = 800 </w:t>
      </w:r>
      <w:proofErr w:type="spellStart"/>
      <w:r w:rsidRPr="00D01167">
        <w:rPr>
          <w:lang w:eastAsia="zh-CN"/>
        </w:rPr>
        <w:t>ms</w:t>
      </w:r>
      <w:proofErr w:type="spellEnd"/>
      <w:r w:rsidRPr="00D01167">
        <w:rPr>
          <w:lang w:eastAsia="zh-CN"/>
        </w:rPr>
        <w:t xml:space="preserve"> for NRS-based measurement</w:t>
      </w:r>
    </w:p>
    <w:p w14:paraId="742171C7" w14:textId="00114852" w:rsidR="00D01167" w:rsidRDefault="00D01167" w:rsidP="001F4F52">
      <w:pPr>
        <w:pStyle w:val="ListParagraph"/>
        <w:numPr>
          <w:ilvl w:val="0"/>
          <w:numId w:val="36"/>
        </w:numPr>
        <w:rPr>
          <w:lang w:eastAsia="zh-CN"/>
        </w:rPr>
      </w:pPr>
      <w:proofErr w:type="spellStart"/>
      <w:r w:rsidRPr="00D01167">
        <w:rPr>
          <w:lang w:eastAsia="zh-CN"/>
        </w:rPr>
        <w:t>Tmeasure_intra</w:t>
      </w:r>
      <w:proofErr w:type="spellEnd"/>
      <w:r w:rsidRPr="00D01167">
        <w:rPr>
          <w:lang w:eastAsia="zh-CN"/>
        </w:rPr>
        <w:t xml:space="preserve"> = 1600 </w:t>
      </w:r>
      <w:proofErr w:type="spellStart"/>
      <w:r w:rsidRPr="00D01167">
        <w:rPr>
          <w:lang w:eastAsia="zh-CN"/>
        </w:rPr>
        <w:t>ms</w:t>
      </w:r>
      <w:proofErr w:type="spellEnd"/>
      <w:r w:rsidRPr="00D01167">
        <w:rPr>
          <w:lang w:eastAsia="zh-CN"/>
        </w:rPr>
        <w:t xml:space="preserve"> for NSSS-based measuremen</w:t>
      </w:r>
      <w:r>
        <w:rPr>
          <w:lang w:eastAsia="zh-CN"/>
        </w:rPr>
        <w:t>t</w:t>
      </w:r>
    </w:p>
    <w:p w14:paraId="701A9CBC" w14:textId="77777777" w:rsidR="00D1086F" w:rsidRDefault="001F4F52" w:rsidP="001F4F52">
      <w:pPr>
        <w:rPr>
          <w:lang w:eastAsia="zh-CN"/>
        </w:rPr>
      </w:pPr>
      <w:r>
        <w:rPr>
          <w:lang w:eastAsia="zh-CN"/>
        </w:rPr>
        <w:lastRenderedPageBreak/>
        <w:t xml:space="preserve">First of all, the detection procedure depends on UE identifying the PSS and SSS of the cell to be measured.  </w:t>
      </w:r>
      <w:r w:rsidR="00F9475A">
        <w:rPr>
          <w:lang w:eastAsia="zh-CN"/>
        </w:rPr>
        <w:t xml:space="preserve">From our understanding, the PSS has periodicity of 10 </w:t>
      </w:r>
      <w:proofErr w:type="spellStart"/>
      <w:r w:rsidR="00F9475A">
        <w:rPr>
          <w:lang w:eastAsia="zh-CN"/>
        </w:rPr>
        <w:t>ms</w:t>
      </w:r>
      <w:proofErr w:type="spellEnd"/>
      <w:r w:rsidR="00F9475A">
        <w:rPr>
          <w:lang w:eastAsia="zh-CN"/>
        </w:rPr>
        <w:t xml:space="preserve">, and therefore, it is always available during the DL opportunities of each cell when the new TDD frame pattern is utilized. There will be at least 15 PSS occasions within 1400 </w:t>
      </w:r>
      <w:proofErr w:type="spellStart"/>
      <w:r w:rsidR="00F9475A">
        <w:rPr>
          <w:lang w:eastAsia="zh-CN"/>
        </w:rPr>
        <w:t>ms</w:t>
      </w:r>
      <w:proofErr w:type="spellEnd"/>
      <w:r w:rsidR="00F9475A">
        <w:rPr>
          <w:lang w:eastAsia="zh-CN"/>
        </w:rPr>
        <w:t>.</w:t>
      </w:r>
      <w:r w:rsidR="00D1086F">
        <w:rPr>
          <w:lang w:eastAsia="zh-CN"/>
        </w:rPr>
        <w:t xml:space="preserve"> </w:t>
      </w:r>
    </w:p>
    <w:p w14:paraId="1FB6C5FA" w14:textId="2EAA23DB" w:rsidR="00D1086F" w:rsidRDefault="00D1086F" w:rsidP="001F4F52">
      <w:pPr>
        <w:rPr>
          <w:lang w:eastAsia="zh-CN"/>
        </w:rPr>
      </w:pPr>
      <w:r>
        <w:rPr>
          <w:lang w:eastAsia="zh-CN"/>
        </w:rPr>
        <w:t>During link budget analysis, RAN1 has performed investigations on the PSS and SSS detection, and the following results were obtained:</w:t>
      </w:r>
    </w:p>
    <w:tbl>
      <w:tblPr>
        <w:tblStyle w:val="TableGrid"/>
        <w:tblW w:w="0" w:type="auto"/>
        <w:tblLook w:val="04A0" w:firstRow="1" w:lastRow="0" w:firstColumn="1" w:lastColumn="0" w:noHBand="0" w:noVBand="1"/>
      </w:tblPr>
      <w:tblGrid>
        <w:gridCol w:w="9617"/>
      </w:tblGrid>
      <w:tr w:rsidR="00D1086F" w14:paraId="18949352" w14:textId="77777777" w:rsidTr="00D1086F">
        <w:tc>
          <w:tcPr>
            <w:tcW w:w="9617" w:type="dxa"/>
          </w:tcPr>
          <w:p w14:paraId="1FC83B45" w14:textId="77777777" w:rsidR="00D1086F" w:rsidRPr="002946EA" w:rsidRDefault="00D1086F" w:rsidP="00D1086F">
            <w:pPr>
              <w:rPr>
                <w:lang w:val="en-US"/>
              </w:rPr>
            </w:pPr>
            <w:r w:rsidRPr="002946EA">
              <w:rPr>
                <w:lang w:val="en-US"/>
              </w:rPr>
              <w:t>RAN1 makes the following observations on downlink synchronization:</w:t>
            </w:r>
          </w:p>
          <w:p w14:paraId="5F9690C5" w14:textId="77777777" w:rsidR="00D1086F" w:rsidRPr="002946EA" w:rsidRDefault="00D1086F" w:rsidP="00D1086F">
            <w:pPr>
              <w:spacing w:line="259" w:lineRule="auto"/>
              <w:rPr>
                <w:lang w:val="en-US"/>
              </w:rPr>
            </w:pPr>
            <w:r w:rsidRPr="002946EA">
              <w:rPr>
                <w:lang w:val="en-US"/>
              </w:rPr>
              <w:t>Case 1: For N=9, D=8:</w:t>
            </w:r>
          </w:p>
          <w:p w14:paraId="2E3CB314" w14:textId="77777777" w:rsidR="00D1086F" w:rsidRPr="002946EA" w:rsidRDefault="00D1086F" w:rsidP="00D1086F">
            <w:pPr>
              <w:pStyle w:val="ListParagraph"/>
              <w:numPr>
                <w:ilvl w:val="0"/>
                <w:numId w:val="38"/>
              </w:numPr>
              <w:overflowPunct w:val="0"/>
              <w:autoSpaceDE w:val="0"/>
              <w:autoSpaceDN w:val="0"/>
              <w:adjustRightInd w:val="0"/>
              <w:spacing w:after="180" w:line="259" w:lineRule="auto"/>
              <w:textAlignment w:val="baseline"/>
              <w:rPr>
                <w:lang w:val="en-US"/>
              </w:rPr>
            </w:pPr>
            <w:r w:rsidRPr="002946EA">
              <w:rPr>
                <w:lang w:val="en-US"/>
              </w:rPr>
              <w:t>For NPSS:</w:t>
            </w:r>
          </w:p>
          <w:p w14:paraId="69AED41D" w14:textId="77777777" w:rsidR="00D1086F" w:rsidRPr="002946EA" w:rsidRDefault="00D1086F" w:rsidP="00D1086F">
            <w:pPr>
              <w:pStyle w:val="ListParagraph"/>
              <w:numPr>
                <w:ilvl w:val="1"/>
                <w:numId w:val="38"/>
              </w:numPr>
              <w:overflowPunct w:val="0"/>
              <w:autoSpaceDE w:val="0"/>
              <w:autoSpaceDN w:val="0"/>
              <w:adjustRightInd w:val="0"/>
              <w:spacing w:after="180" w:line="259" w:lineRule="auto"/>
              <w:textAlignment w:val="baseline"/>
              <w:rPr>
                <w:lang w:val="en-US"/>
              </w:rPr>
            </w:pPr>
            <w:r w:rsidRPr="002946EA">
              <w:rPr>
                <w:lang w:val="en-US"/>
              </w:rPr>
              <w:t>For one-shot detection (90ms delay), 9 sources provided simulation results, with a median required SNR of 1.30dB. The link budget margin is (median margin):</w:t>
            </w:r>
          </w:p>
          <w:p w14:paraId="730C522B" w14:textId="77777777" w:rsidR="00D1086F" w:rsidRPr="002946EA" w:rsidRDefault="00D1086F" w:rsidP="00D1086F">
            <w:pPr>
              <w:pStyle w:val="ListParagraph"/>
              <w:numPr>
                <w:ilvl w:val="2"/>
                <w:numId w:val="38"/>
              </w:numPr>
              <w:overflowPunct w:val="0"/>
              <w:autoSpaceDE w:val="0"/>
              <w:autoSpaceDN w:val="0"/>
              <w:adjustRightInd w:val="0"/>
              <w:spacing w:after="180" w:line="259" w:lineRule="auto"/>
              <w:textAlignment w:val="baseline"/>
              <w:rPr>
                <w:lang w:val="en-US"/>
              </w:rPr>
            </w:pPr>
            <w:r w:rsidRPr="002946EA">
              <w:rPr>
                <w:lang w:val="en-US"/>
              </w:rPr>
              <w:t xml:space="preserve">4.21 dB for LEO-1200 (0dBi antenna gain) </w:t>
            </w:r>
          </w:p>
          <w:p w14:paraId="3AB94291" w14:textId="77777777" w:rsidR="00D1086F" w:rsidRPr="002946EA" w:rsidRDefault="00D1086F" w:rsidP="00D1086F">
            <w:pPr>
              <w:pStyle w:val="ListParagraph"/>
              <w:numPr>
                <w:ilvl w:val="2"/>
                <w:numId w:val="38"/>
              </w:numPr>
              <w:overflowPunct w:val="0"/>
              <w:autoSpaceDE w:val="0"/>
              <w:autoSpaceDN w:val="0"/>
              <w:adjustRightInd w:val="0"/>
              <w:spacing w:after="180" w:line="259" w:lineRule="auto"/>
              <w:textAlignment w:val="baseline"/>
              <w:rPr>
                <w:lang w:val="en-US"/>
              </w:rPr>
            </w:pPr>
            <w:r w:rsidRPr="002946EA">
              <w:rPr>
                <w:lang w:val="en-US"/>
              </w:rPr>
              <w:t>-1.89 dB for LEO-600 (-5.5dBi antenna gain).</w:t>
            </w:r>
          </w:p>
          <w:p w14:paraId="703B93C2" w14:textId="77777777" w:rsidR="00D1086F" w:rsidRPr="002946EA" w:rsidRDefault="00D1086F" w:rsidP="00D1086F">
            <w:pPr>
              <w:pStyle w:val="ListParagraph"/>
              <w:numPr>
                <w:ilvl w:val="1"/>
                <w:numId w:val="38"/>
              </w:numPr>
              <w:overflowPunct w:val="0"/>
              <w:autoSpaceDE w:val="0"/>
              <w:autoSpaceDN w:val="0"/>
              <w:adjustRightInd w:val="0"/>
              <w:spacing w:after="180" w:line="259" w:lineRule="auto"/>
              <w:textAlignment w:val="baseline"/>
              <w:rPr>
                <w:lang w:val="en-US"/>
              </w:rPr>
            </w:pPr>
            <w:r w:rsidRPr="002946EA">
              <w:rPr>
                <w:lang w:val="en-US"/>
              </w:rPr>
              <w:t>For two-shot detection (180ms delay), 3 sources provided simulation results, with a median required SNR of -1.20dB. The link budget margin is (median margin):</w:t>
            </w:r>
          </w:p>
          <w:p w14:paraId="38A06693" w14:textId="77777777" w:rsidR="00D1086F" w:rsidRPr="002946EA" w:rsidRDefault="00D1086F" w:rsidP="00D1086F">
            <w:pPr>
              <w:pStyle w:val="ListParagraph"/>
              <w:numPr>
                <w:ilvl w:val="2"/>
                <w:numId w:val="38"/>
              </w:numPr>
              <w:overflowPunct w:val="0"/>
              <w:autoSpaceDE w:val="0"/>
              <w:autoSpaceDN w:val="0"/>
              <w:adjustRightInd w:val="0"/>
              <w:spacing w:after="180" w:line="259" w:lineRule="auto"/>
              <w:textAlignment w:val="baseline"/>
              <w:rPr>
                <w:lang w:val="en-US"/>
              </w:rPr>
            </w:pPr>
            <w:r w:rsidRPr="002946EA">
              <w:rPr>
                <w:lang w:val="en-US"/>
              </w:rPr>
              <w:t xml:space="preserve">6.71dB for LEO 1200 (0dBi antenna gain) </w:t>
            </w:r>
          </w:p>
          <w:p w14:paraId="7C8BDADC" w14:textId="77777777" w:rsidR="00D1086F" w:rsidRPr="002946EA" w:rsidRDefault="00D1086F" w:rsidP="00D1086F">
            <w:pPr>
              <w:pStyle w:val="ListParagraph"/>
              <w:numPr>
                <w:ilvl w:val="2"/>
                <w:numId w:val="38"/>
              </w:numPr>
              <w:overflowPunct w:val="0"/>
              <w:autoSpaceDE w:val="0"/>
              <w:autoSpaceDN w:val="0"/>
              <w:adjustRightInd w:val="0"/>
              <w:spacing w:after="180" w:line="259" w:lineRule="auto"/>
              <w:textAlignment w:val="baseline"/>
              <w:rPr>
                <w:lang w:val="en-US"/>
              </w:rPr>
            </w:pPr>
            <w:r w:rsidRPr="002946EA">
              <w:rPr>
                <w:lang w:val="en-US"/>
              </w:rPr>
              <w:t>0.61dB for LEO-600 (-5.5dBi antenna gain).</w:t>
            </w:r>
          </w:p>
          <w:p w14:paraId="1C581260" w14:textId="77777777" w:rsidR="00D1086F" w:rsidRPr="002946EA" w:rsidRDefault="00D1086F" w:rsidP="00D1086F">
            <w:pPr>
              <w:pStyle w:val="ListParagraph"/>
              <w:numPr>
                <w:ilvl w:val="1"/>
                <w:numId w:val="38"/>
              </w:numPr>
              <w:overflowPunct w:val="0"/>
              <w:autoSpaceDE w:val="0"/>
              <w:autoSpaceDN w:val="0"/>
              <w:adjustRightInd w:val="0"/>
              <w:spacing w:after="180" w:line="259" w:lineRule="auto"/>
              <w:textAlignment w:val="baseline"/>
              <w:rPr>
                <w:lang w:val="en-US"/>
              </w:rPr>
            </w:pPr>
            <w:r w:rsidRPr="002946EA">
              <w:rPr>
                <w:lang w:val="en-US"/>
              </w:rPr>
              <w:t>For four-shot detection (360ms delay), 3 sources provided simulation results, with a median required SNR of -3.80dB. The link budget margin is (median margin):</w:t>
            </w:r>
          </w:p>
          <w:p w14:paraId="79C5A871" w14:textId="77777777" w:rsidR="00D1086F" w:rsidRPr="002946EA" w:rsidRDefault="00D1086F" w:rsidP="00D1086F">
            <w:pPr>
              <w:pStyle w:val="ListParagraph"/>
              <w:numPr>
                <w:ilvl w:val="2"/>
                <w:numId w:val="38"/>
              </w:numPr>
              <w:overflowPunct w:val="0"/>
              <w:autoSpaceDE w:val="0"/>
              <w:autoSpaceDN w:val="0"/>
              <w:adjustRightInd w:val="0"/>
              <w:spacing w:after="180" w:line="259" w:lineRule="auto"/>
              <w:textAlignment w:val="baseline"/>
              <w:rPr>
                <w:lang w:val="en-US"/>
              </w:rPr>
            </w:pPr>
            <w:r w:rsidRPr="002946EA">
              <w:rPr>
                <w:lang w:val="en-US"/>
              </w:rPr>
              <w:t>9.31dB for LEO-1200 (0dBi antenna gain)</w:t>
            </w:r>
          </w:p>
          <w:p w14:paraId="2EDBE067" w14:textId="77777777" w:rsidR="00D1086F" w:rsidRPr="002946EA" w:rsidRDefault="00D1086F" w:rsidP="00D1086F">
            <w:pPr>
              <w:pStyle w:val="ListParagraph"/>
              <w:numPr>
                <w:ilvl w:val="2"/>
                <w:numId w:val="38"/>
              </w:numPr>
              <w:overflowPunct w:val="0"/>
              <w:autoSpaceDE w:val="0"/>
              <w:autoSpaceDN w:val="0"/>
              <w:adjustRightInd w:val="0"/>
              <w:spacing w:after="180" w:line="259" w:lineRule="auto"/>
              <w:textAlignment w:val="baseline"/>
              <w:rPr>
                <w:lang w:val="en-US"/>
              </w:rPr>
            </w:pPr>
            <w:r w:rsidRPr="002946EA">
              <w:rPr>
                <w:lang w:val="en-US"/>
              </w:rPr>
              <w:t>3.21dB for LEO-600 (-5.5dBi antenna gain).</w:t>
            </w:r>
          </w:p>
          <w:p w14:paraId="443C91E1" w14:textId="77777777" w:rsidR="00D1086F" w:rsidRPr="002946EA" w:rsidRDefault="00D1086F" w:rsidP="00D1086F">
            <w:pPr>
              <w:pStyle w:val="ListParagraph"/>
              <w:numPr>
                <w:ilvl w:val="1"/>
                <w:numId w:val="38"/>
              </w:numPr>
              <w:overflowPunct w:val="0"/>
              <w:autoSpaceDE w:val="0"/>
              <w:autoSpaceDN w:val="0"/>
              <w:adjustRightInd w:val="0"/>
              <w:spacing w:after="180" w:line="259" w:lineRule="auto"/>
              <w:textAlignment w:val="baseline"/>
              <w:rPr>
                <w:lang w:val="en-US"/>
              </w:rPr>
            </w:pPr>
            <w:r w:rsidRPr="002946EA">
              <w:rPr>
                <w:lang w:val="en-US"/>
              </w:rPr>
              <w:t>NOTE: The assumptions for combining for 2-shot and 3-shot detection are different across companies.</w:t>
            </w:r>
          </w:p>
          <w:p w14:paraId="62B542FF" w14:textId="77777777" w:rsidR="00D1086F" w:rsidRPr="002946EA" w:rsidRDefault="00D1086F" w:rsidP="00D1086F">
            <w:pPr>
              <w:pStyle w:val="ListParagraph"/>
              <w:numPr>
                <w:ilvl w:val="0"/>
                <w:numId w:val="37"/>
              </w:numPr>
              <w:overflowPunct w:val="0"/>
              <w:autoSpaceDE w:val="0"/>
              <w:autoSpaceDN w:val="0"/>
              <w:adjustRightInd w:val="0"/>
              <w:spacing w:after="180" w:line="259" w:lineRule="auto"/>
              <w:textAlignment w:val="baseline"/>
              <w:rPr>
                <w:lang w:val="en-US"/>
              </w:rPr>
            </w:pPr>
            <w:r w:rsidRPr="002946EA">
              <w:rPr>
                <w:lang w:val="en-US"/>
              </w:rPr>
              <w:t>For NSSS:</w:t>
            </w:r>
          </w:p>
          <w:p w14:paraId="5ED81DCE" w14:textId="77777777" w:rsidR="00D1086F" w:rsidRPr="002946EA" w:rsidRDefault="00D1086F" w:rsidP="00D1086F">
            <w:pPr>
              <w:pStyle w:val="ListParagraph"/>
              <w:numPr>
                <w:ilvl w:val="1"/>
                <w:numId w:val="37"/>
              </w:numPr>
              <w:overflowPunct w:val="0"/>
              <w:autoSpaceDE w:val="0"/>
              <w:autoSpaceDN w:val="0"/>
              <w:adjustRightInd w:val="0"/>
              <w:spacing w:after="180" w:line="259" w:lineRule="auto"/>
              <w:textAlignment w:val="baseline"/>
              <w:rPr>
                <w:lang w:val="en-US"/>
              </w:rPr>
            </w:pPr>
            <w:r w:rsidRPr="002946EA">
              <w:rPr>
                <w:lang w:val="en-US"/>
              </w:rPr>
              <w:t>For one-shot detection (180ms delay), 5 sources provided simulation results, with a median required SNR of -2.50dB. The link budget margin is (median margin):</w:t>
            </w:r>
          </w:p>
          <w:p w14:paraId="23FC5AA1" w14:textId="77777777" w:rsidR="00D1086F" w:rsidRPr="002946EA" w:rsidRDefault="00D1086F" w:rsidP="00D1086F">
            <w:pPr>
              <w:pStyle w:val="ListParagraph"/>
              <w:numPr>
                <w:ilvl w:val="2"/>
                <w:numId w:val="37"/>
              </w:numPr>
              <w:overflowPunct w:val="0"/>
              <w:autoSpaceDE w:val="0"/>
              <w:autoSpaceDN w:val="0"/>
              <w:adjustRightInd w:val="0"/>
              <w:spacing w:after="180" w:line="259" w:lineRule="auto"/>
              <w:textAlignment w:val="baseline"/>
              <w:rPr>
                <w:lang w:val="en-US"/>
              </w:rPr>
            </w:pPr>
            <w:r w:rsidRPr="002946EA">
              <w:rPr>
                <w:lang w:val="en-US"/>
              </w:rPr>
              <w:t>8.01dB for LEO-1200 (0dBi antenna gain)</w:t>
            </w:r>
          </w:p>
          <w:p w14:paraId="232D9075" w14:textId="77777777" w:rsidR="00D1086F" w:rsidRPr="002946EA" w:rsidRDefault="00D1086F" w:rsidP="00D1086F">
            <w:pPr>
              <w:pStyle w:val="ListParagraph"/>
              <w:numPr>
                <w:ilvl w:val="2"/>
                <w:numId w:val="37"/>
              </w:numPr>
              <w:overflowPunct w:val="0"/>
              <w:autoSpaceDE w:val="0"/>
              <w:autoSpaceDN w:val="0"/>
              <w:adjustRightInd w:val="0"/>
              <w:spacing w:after="180" w:line="259" w:lineRule="auto"/>
              <w:textAlignment w:val="baseline"/>
              <w:rPr>
                <w:lang w:val="en-US"/>
              </w:rPr>
            </w:pPr>
            <w:r w:rsidRPr="002946EA">
              <w:rPr>
                <w:lang w:val="en-US"/>
              </w:rPr>
              <w:t xml:space="preserve">1.91dB for LEO-600 (-5.5dBi antenna gain) </w:t>
            </w:r>
          </w:p>
          <w:p w14:paraId="28E948A4" w14:textId="77777777" w:rsidR="00D1086F" w:rsidRPr="00D1086F" w:rsidRDefault="00D1086F" w:rsidP="001F4F52">
            <w:pPr>
              <w:rPr>
                <w:lang w:val="en-US" w:eastAsia="zh-CN"/>
              </w:rPr>
            </w:pPr>
          </w:p>
        </w:tc>
      </w:tr>
    </w:tbl>
    <w:p w14:paraId="61DA5E8E" w14:textId="59E5026B" w:rsidR="006B0709" w:rsidRDefault="00D1086F" w:rsidP="001F4F52">
      <w:pPr>
        <w:rPr>
          <w:lang w:eastAsia="zh-CN"/>
        </w:rPr>
      </w:pPr>
      <w:r>
        <w:rPr>
          <w:lang w:eastAsia="zh-CN"/>
        </w:rPr>
        <w:br/>
        <w:t xml:space="preserve">For 3 shot detection of the PSS, the median SNR required according to the simulation results is -3.8 </w:t>
      </w:r>
      <w:proofErr w:type="spellStart"/>
      <w:r>
        <w:rPr>
          <w:lang w:eastAsia="zh-CN"/>
        </w:rPr>
        <w:t>dB.</w:t>
      </w:r>
      <w:proofErr w:type="spellEnd"/>
      <w:r>
        <w:rPr>
          <w:lang w:eastAsia="zh-CN"/>
        </w:rPr>
        <w:t xml:space="preserve"> It is well known that RAN4, when designing the minimum requirements commonly utilize -6 dB as </w:t>
      </w:r>
      <w:r w:rsidR="00327744">
        <w:rPr>
          <w:lang w:eastAsia="zh-CN"/>
        </w:rPr>
        <w:t xml:space="preserve">the threshold value for </w:t>
      </w:r>
      <w:r w:rsidR="006B0709">
        <w:rPr>
          <w:lang w:eastAsia="zh-CN"/>
        </w:rPr>
        <w:t xml:space="preserve">the measurement requirements. We also acknowledge that we miss simulation results for the NTN channel model in this WI for such SINR. However, the results above it shows that with several PSS opportunities, it is likely that PSS can be successfully collected. Likewise, for SSS, one-shot detection was possible with a required SINR of -2.5 </w:t>
      </w:r>
      <w:proofErr w:type="spellStart"/>
      <w:r w:rsidR="006B0709">
        <w:rPr>
          <w:lang w:eastAsia="zh-CN"/>
        </w:rPr>
        <w:t>dB.</w:t>
      </w:r>
      <w:proofErr w:type="spellEnd"/>
      <w:r w:rsidR="006B0709">
        <w:rPr>
          <w:lang w:eastAsia="zh-CN"/>
        </w:rPr>
        <w:t xml:space="preserve"> Within a few SSS opportunities there should be possible to also detect the SSS. At current stage we see no need to further increase the time to detect based on the PSS and SSS detectability. </w:t>
      </w:r>
    </w:p>
    <w:p w14:paraId="65B9A9EC" w14:textId="47A7A72D" w:rsidR="006B0709" w:rsidRDefault="006B0709" w:rsidP="001F4F52">
      <w:pPr>
        <w:rPr>
          <w:lang w:eastAsia="zh-CN"/>
        </w:rPr>
      </w:pPr>
      <w:r>
        <w:rPr>
          <w:lang w:eastAsia="zh-CN"/>
        </w:rPr>
        <w:t xml:space="preserve">For the time to measure, within 800 </w:t>
      </w:r>
      <w:proofErr w:type="spellStart"/>
      <w:r>
        <w:rPr>
          <w:lang w:eastAsia="zh-CN"/>
        </w:rPr>
        <w:t>ms</w:t>
      </w:r>
      <w:proofErr w:type="spellEnd"/>
      <w:r>
        <w:rPr>
          <w:lang w:eastAsia="zh-CN"/>
        </w:rPr>
        <w:t xml:space="preserve"> there are up to 10 NRS opportunities and within 1600 </w:t>
      </w:r>
      <w:proofErr w:type="spellStart"/>
      <w:r>
        <w:rPr>
          <w:lang w:eastAsia="zh-CN"/>
        </w:rPr>
        <w:t>ms</w:t>
      </w:r>
      <w:proofErr w:type="spellEnd"/>
      <w:r>
        <w:rPr>
          <w:lang w:eastAsia="zh-CN"/>
        </w:rPr>
        <w:t xml:space="preserve"> there are up to 10 NSSS opportunities. Therefore, we see no reason to extend the time to measure as well. </w:t>
      </w:r>
    </w:p>
    <w:p w14:paraId="7A2B4B91" w14:textId="7C08D1AE" w:rsidR="006B0709" w:rsidRDefault="006B0709" w:rsidP="001F4F52">
      <w:pPr>
        <w:rPr>
          <w:lang w:eastAsia="zh-CN"/>
        </w:rPr>
      </w:pPr>
      <w:r>
        <w:rPr>
          <w:lang w:eastAsia="zh-CN"/>
        </w:rPr>
        <w:t xml:space="preserve">However,  as there is diminished opportunities for measurement, it means that the UE should wake up at every DL opportunity of the cell to be measured. If the UE has to measure cells across multiple DL opportunities (see </w:t>
      </w:r>
      <w:r>
        <w:rPr>
          <w:lang w:eastAsia="zh-CN"/>
        </w:rPr>
        <w:fldChar w:fldCharType="begin"/>
      </w:r>
      <w:r>
        <w:rPr>
          <w:lang w:eastAsia="zh-CN"/>
        </w:rPr>
        <w:instrText xml:space="preserve"> REF _Ref193893093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the UE will be awake for most of the time just to collect measurements of the cells to be measured, which goes against the principle of NB-IoT to limit power consumption. Because of this, as a compromise, we can scale the measurements</w:t>
      </w:r>
      <w:r w:rsidR="004B2488">
        <w:rPr>
          <w:lang w:eastAsia="zh-CN"/>
        </w:rPr>
        <w:t xml:space="preserve"> when the UE has to measure 3 or more different DL opportunities, in order to give the UE more chance to save power and space its measurements in time. </w:t>
      </w:r>
    </w:p>
    <w:p w14:paraId="169B2B18" w14:textId="77777777" w:rsidR="004B2488" w:rsidRDefault="004B2488" w:rsidP="004B2488">
      <w:pPr>
        <w:pStyle w:val="RAN4proposal"/>
        <w:rPr>
          <w:lang w:eastAsia="zh-CN"/>
        </w:rPr>
      </w:pPr>
      <w:bookmarkStart w:id="12" w:name="_Toc194073725"/>
      <w:r>
        <w:rPr>
          <w:lang w:eastAsia="zh-CN"/>
        </w:rPr>
        <w:t xml:space="preserve">Do not increase the </w:t>
      </w:r>
      <w:proofErr w:type="spellStart"/>
      <w:r>
        <w:rPr>
          <w:lang w:eastAsia="zh-CN"/>
        </w:rPr>
        <w:t>Tmeasure</w:t>
      </w:r>
      <w:proofErr w:type="spellEnd"/>
      <w:r>
        <w:rPr>
          <w:lang w:eastAsia="zh-CN"/>
        </w:rPr>
        <w:t xml:space="preserve"> and </w:t>
      </w:r>
      <w:proofErr w:type="spellStart"/>
      <w:r>
        <w:rPr>
          <w:lang w:eastAsia="zh-CN"/>
        </w:rPr>
        <w:t>Tdetect</w:t>
      </w:r>
      <w:proofErr w:type="spellEnd"/>
      <w:r>
        <w:rPr>
          <w:lang w:eastAsia="zh-CN"/>
        </w:rPr>
        <w:t xml:space="preserve"> for intra-frequency measurements when DRX is not configured.</w:t>
      </w:r>
      <w:bookmarkEnd w:id="12"/>
    </w:p>
    <w:p w14:paraId="1A87869A" w14:textId="777FDF46" w:rsidR="004B2488" w:rsidRDefault="004B2488" w:rsidP="004B2488">
      <w:pPr>
        <w:pStyle w:val="RAN4proposal"/>
        <w:rPr>
          <w:lang w:eastAsia="zh-CN"/>
        </w:rPr>
      </w:pPr>
      <w:bookmarkStart w:id="13" w:name="_Toc194073726"/>
      <w:r>
        <w:rPr>
          <w:lang w:eastAsia="zh-CN"/>
        </w:rPr>
        <w:t xml:space="preserve">As a compromise, scale </w:t>
      </w:r>
      <w:proofErr w:type="spellStart"/>
      <w:r>
        <w:rPr>
          <w:lang w:eastAsia="zh-CN"/>
        </w:rPr>
        <w:t>Tmeasure</w:t>
      </w:r>
      <w:proofErr w:type="spellEnd"/>
      <w:r>
        <w:rPr>
          <w:lang w:eastAsia="zh-CN"/>
        </w:rPr>
        <w:t xml:space="preserve"> and </w:t>
      </w:r>
      <w:proofErr w:type="spellStart"/>
      <w:proofErr w:type="gramStart"/>
      <w:r>
        <w:rPr>
          <w:lang w:eastAsia="zh-CN"/>
        </w:rPr>
        <w:t>Tdetect</w:t>
      </w:r>
      <w:proofErr w:type="spellEnd"/>
      <w:r>
        <w:rPr>
          <w:lang w:eastAsia="zh-CN"/>
        </w:rPr>
        <w:t xml:space="preserve"> </w:t>
      </w:r>
      <w:r w:rsidR="00803C11">
        <w:rPr>
          <w:lang w:eastAsia="zh-CN"/>
        </w:rPr>
        <w:t>,</w:t>
      </w:r>
      <w:proofErr w:type="gramEnd"/>
      <w:r w:rsidR="00803C11">
        <w:rPr>
          <w:lang w:eastAsia="zh-CN"/>
        </w:rPr>
        <w:t xml:space="preserve"> when DRX is not configured, </w:t>
      </w:r>
      <w:r>
        <w:rPr>
          <w:lang w:eastAsia="zh-CN"/>
        </w:rPr>
        <w:t>by a factor of [2], when the UE measures cells across 3 or more different</w:t>
      </w:r>
      <w:r w:rsidR="0091797F">
        <w:rPr>
          <w:lang w:eastAsia="zh-CN"/>
        </w:rPr>
        <w:t xml:space="preserve"> patterns of</w:t>
      </w:r>
      <w:r>
        <w:rPr>
          <w:lang w:eastAsia="zh-CN"/>
        </w:rPr>
        <w:t xml:space="preserve"> DL opportunities.</w:t>
      </w:r>
      <w:bookmarkEnd w:id="13"/>
      <w:r>
        <w:rPr>
          <w:lang w:eastAsia="zh-CN"/>
        </w:rPr>
        <w:t xml:space="preserve">  </w:t>
      </w:r>
    </w:p>
    <w:p w14:paraId="4C0D096D" w14:textId="5478C877" w:rsidR="004B2488" w:rsidRPr="006B0709" w:rsidRDefault="004B2488" w:rsidP="004B2488">
      <w:pPr>
        <w:rPr>
          <w:b/>
          <w:bCs/>
          <w:u w:val="single"/>
          <w:lang w:eastAsia="zh-CN"/>
        </w:rPr>
      </w:pPr>
      <w:r w:rsidRPr="006B0709">
        <w:rPr>
          <w:b/>
          <w:bCs/>
          <w:u w:val="single"/>
          <w:lang w:eastAsia="zh-CN"/>
        </w:rPr>
        <w:t>DRX configured</w:t>
      </w:r>
    </w:p>
    <w:p w14:paraId="62C4F3C3" w14:textId="04E6509F" w:rsidR="006B0709" w:rsidRDefault="004B2488" w:rsidP="001F4F52">
      <w:pPr>
        <w:rPr>
          <w:lang w:eastAsia="zh-CN"/>
        </w:rPr>
      </w:pPr>
      <w:r>
        <w:rPr>
          <w:lang w:eastAsia="zh-CN"/>
        </w:rPr>
        <w:t xml:space="preserve">When DRX is in use, the time to detect is set to 6 DRX Cycles, whereas the time to measure is set 5 DRX Cycles. In special for the largest DRX Cycles, the number of measurement opportunities is sufficient </w:t>
      </w:r>
      <w:r w:rsidR="0091797F">
        <w:rPr>
          <w:lang w:eastAsia="zh-CN"/>
        </w:rPr>
        <w:t xml:space="preserve">for the UE to acquire the information of </w:t>
      </w:r>
      <w:proofErr w:type="spellStart"/>
      <w:r w:rsidR="0091797F">
        <w:rPr>
          <w:lang w:eastAsia="zh-CN"/>
        </w:rPr>
        <w:t>neighbor</w:t>
      </w:r>
      <w:proofErr w:type="spellEnd"/>
      <w:r w:rsidR="0091797F">
        <w:rPr>
          <w:lang w:eastAsia="zh-CN"/>
        </w:rPr>
        <w:t xml:space="preserve"> cells with no need for extending the minimum requirement. However, the main goal when </w:t>
      </w:r>
      <w:r w:rsidR="0091797F">
        <w:rPr>
          <w:lang w:eastAsia="zh-CN"/>
        </w:rPr>
        <w:lastRenderedPageBreak/>
        <w:t>DRX is configured is to save UE power, and for the smallest DRX Cycles, the UE will have to rely on almost every transmission opportunity to have sufficient number of samples to detect or measure the target cell. Using the same principle as above, we propose:</w:t>
      </w:r>
    </w:p>
    <w:p w14:paraId="73D70183" w14:textId="2B431C25" w:rsidR="0091797F" w:rsidRDefault="0091797F" w:rsidP="0091797F">
      <w:pPr>
        <w:pStyle w:val="RAN4proposal"/>
        <w:rPr>
          <w:lang w:eastAsia="zh-CN"/>
        </w:rPr>
      </w:pPr>
      <w:bookmarkStart w:id="14" w:name="_Toc194073727"/>
      <w:r>
        <w:rPr>
          <w:lang w:eastAsia="zh-CN"/>
        </w:rPr>
        <w:t xml:space="preserve">Scale </w:t>
      </w:r>
      <w:proofErr w:type="spellStart"/>
      <w:r>
        <w:rPr>
          <w:lang w:eastAsia="zh-CN"/>
        </w:rPr>
        <w:t>Tmeasure</w:t>
      </w:r>
      <w:proofErr w:type="spellEnd"/>
      <w:r>
        <w:rPr>
          <w:lang w:eastAsia="zh-CN"/>
        </w:rPr>
        <w:t xml:space="preserve"> and </w:t>
      </w:r>
      <w:proofErr w:type="spellStart"/>
      <w:r>
        <w:rPr>
          <w:lang w:eastAsia="zh-CN"/>
        </w:rPr>
        <w:t>Tdetect</w:t>
      </w:r>
      <w:proofErr w:type="spellEnd"/>
      <w:r w:rsidR="00803C11">
        <w:rPr>
          <w:lang w:eastAsia="zh-CN"/>
        </w:rPr>
        <w:t>, when DRX is configured,</w:t>
      </w:r>
      <w:r>
        <w:rPr>
          <w:lang w:eastAsia="zh-CN"/>
        </w:rPr>
        <w:t xml:space="preserve"> for intra frequency measurements by a factor of [2] when the UE measures cells across 3 or more different patterns of DL opportunities.</w:t>
      </w:r>
      <w:bookmarkEnd w:id="14"/>
      <w:r>
        <w:rPr>
          <w:lang w:eastAsia="zh-CN"/>
        </w:rPr>
        <w:t xml:space="preserve"> </w:t>
      </w:r>
    </w:p>
    <w:p w14:paraId="46A7EBDB" w14:textId="13CE0179" w:rsidR="004B2488" w:rsidRDefault="0091797F" w:rsidP="0091797F">
      <w:pPr>
        <w:pStyle w:val="RAN4H3"/>
        <w:rPr>
          <w:lang w:eastAsia="zh-CN"/>
        </w:rPr>
      </w:pPr>
      <w:r>
        <w:rPr>
          <w:lang w:eastAsia="zh-CN"/>
        </w:rPr>
        <w:t>Inter-frequency measurements</w:t>
      </w:r>
    </w:p>
    <w:p w14:paraId="3EB03148" w14:textId="46497323" w:rsidR="0011051A" w:rsidRDefault="0011051A" w:rsidP="001F4F52">
      <w:pPr>
        <w:rPr>
          <w:lang w:eastAsia="zh-CN"/>
        </w:rPr>
      </w:pPr>
      <w:r>
        <w:rPr>
          <w:lang w:eastAsia="zh-CN"/>
        </w:rPr>
        <w:t>For the inter-frequency measurements, requirements state that:</w:t>
      </w:r>
    </w:p>
    <w:tbl>
      <w:tblPr>
        <w:tblStyle w:val="TableGrid"/>
        <w:tblW w:w="0" w:type="auto"/>
        <w:tblLook w:val="04A0" w:firstRow="1" w:lastRow="0" w:firstColumn="1" w:lastColumn="0" w:noHBand="0" w:noVBand="1"/>
      </w:tblPr>
      <w:tblGrid>
        <w:gridCol w:w="9617"/>
      </w:tblGrid>
      <w:tr w:rsidR="0011051A" w14:paraId="511D8404" w14:textId="77777777" w:rsidTr="0011051A">
        <w:tc>
          <w:tcPr>
            <w:tcW w:w="9617" w:type="dxa"/>
          </w:tcPr>
          <w:p w14:paraId="277AF2F4" w14:textId="21764C27" w:rsidR="0011051A" w:rsidRDefault="0011051A" w:rsidP="0011051A">
            <w:pPr>
              <w:rPr>
                <w:color w:val="FF0000"/>
                <w:lang w:val="en-US" w:eastAsia="zh-CN"/>
              </w:rPr>
            </w:pPr>
            <w:r w:rsidRPr="0011051A">
              <w:rPr>
                <w:lang w:val="en-US" w:eastAsia="zh-CN"/>
              </w:rPr>
              <w:t>-</w:t>
            </w:r>
            <w:r w:rsidRPr="0011051A">
              <w:rPr>
                <w:lang w:val="en-US" w:eastAsia="zh-CN"/>
              </w:rPr>
              <w:tab/>
              <w:t xml:space="preserve">The UE is not required to monitor NPSS/NSSS more frequent than once per 40ms. </w:t>
            </w:r>
            <w:r>
              <w:rPr>
                <w:lang w:val="en-US" w:eastAsia="zh-CN"/>
              </w:rPr>
              <w:t xml:space="preserve"> </w:t>
            </w:r>
            <w:r w:rsidRPr="0011051A">
              <w:rPr>
                <w:color w:val="FF0000"/>
                <w:lang w:val="en-US" w:eastAsia="zh-CN"/>
              </w:rPr>
              <w:t>(Time to Detect)</w:t>
            </w:r>
          </w:p>
          <w:p w14:paraId="2A7566AB" w14:textId="77777777" w:rsidR="0011051A" w:rsidRDefault="0011051A" w:rsidP="0011051A">
            <w:pPr>
              <w:rPr>
                <w:lang w:val="en-US" w:eastAsia="zh-CN"/>
              </w:rPr>
            </w:pPr>
          </w:p>
          <w:p w14:paraId="6D6CD9F6" w14:textId="1D5D5D15" w:rsidR="0011051A" w:rsidRPr="0011051A" w:rsidRDefault="0011051A" w:rsidP="0011051A">
            <w:pPr>
              <w:rPr>
                <w:lang w:val="en-US" w:eastAsia="zh-CN"/>
              </w:rPr>
            </w:pPr>
            <w:r w:rsidRPr="0011051A">
              <w:rPr>
                <w:lang w:val="en-US" w:eastAsia="zh-CN"/>
              </w:rPr>
              <w:t>-</w:t>
            </w:r>
            <w:r w:rsidRPr="0011051A">
              <w:rPr>
                <w:lang w:val="en-US" w:eastAsia="zh-CN"/>
              </w:rPr>
              <w:tab/>
              <w:t xml:space="preserve">The UE is not required to monitor NRS more frequent than once per 20ms for NRS-based measurement and NSSS more frequent than 40 </w:t>
            </w:r>
            <w:proofErr w:type="spellStart"/>
            <w:r w:rsidRPr="0011051A">
              <w:rPr>
                <w:lang w:val="en-US" w:eastAsia="zh-CN"/>
              </w:rPr>
              <w:t>ms</w:t>
            </w:r>
            <w:proofErr w:type="spellEnd"/>
            <w:r w:rsidRPr="0011051A">
              <w:rPr>
                <w:lang w:val="en-US" w:eastAsia="zh-CN"/>
              </w:rPr>
              <w:t xml:space="preserve"> for NSSS-based measurement</w:t>
            </w:r>
            <w:r w:rsidRPr="0011051A">
              <w:rPr>
                <w:rFonts w:hint="eastAsia"/>
                <w:lang w:val="en-US" w:eastAsia="zh-CN"/>
              </w:rPr>
              <w:t>.</w:t>
            </w:r>
            <w:r w:rsidRPr="0011051A">
              <w:rPr>
                <w:lang w:val="en-US" w:eastAsia="zh-CN"/>
              </w:rPr>
              <w:t xml:space="preserve"> </w:t>
            </w:r>
            <w:r>
              <w:rPr>
                <w:lang w:val="en-US" w:eastAsia="zh-CN"/>
              </w:rPr>
              <w:t xml:space="preserve"> </w:t>
            </w:r>
            <w:r w:rsidRPr="0011051A">
              <w:rPr>
                <w:color w:val="FF0000"/>
                <w:lang w:val="en-US" w:eastAsia="zh-CN"/>
              </w:rPr>
              <w:t>(Time to measure)</w:t>
            </w:r>
          </w:p>
          <w:p w14:paraId="035C0147" w14:textId="77777777" w:rsidR="0011051A" w:rsidRPr="0011051A" w:rsidRDefault="0011051A" w:rsidP="0011051A">
            <w:pPr>
              <w:rPr>
                <w:lang w:val="en-US" w:eastAsia="zh-CN"/>
              </w:rPr>
            </w:pPr>
          </w:p>
          <w:p w14:paraId="19684B4D" w14:textId="77777777" w:rsidR="0011051A" w:rsidRPr="0011051A" w:rsidRDefault="0011051A" w:rsidP="001F4F52">
            <w:pPr>
              <w:rPr>
                <w:lang w:val="en-US" w:eastAsia="zh-CN"/>
              </w:rPr>
            </w:pPr>
          </w:p>
        </w:tc>
      </w:tr>
    </w:tbl>
    <w:p w14:paraId="5E59BCB1" w14:textId="3D23E436" w:rsidR="0011051A" w:rsidRDefault="0011051A" w:rsidP="001F4F52">
      <w:pPr>
        <w:rPr>
          <w:lang w:eastAsia="zh-CN"/>
        </w:rPr>
      </w:pPr>
      <w:r>
        <w:rPr>
          <w:lang w:eastAsia="zh-CN"/>
        </w:rPr>
        <w:t xml:space="preserve">Therefore, increasing the interval between collected samples to 90 </w:t>
      </w:r>
      <w:proofErr w:type="spellStart"/>
      <w:r>
        <w:rPr>
          <w:lang w:eastAsia="zh-CN"/>
        </w:rPr>
        <w:t>ms</w:t>
      </w:r>
      <w:proofErr w:type="spellEnd"/>
      <w:r>
        <w:rPr>
          <w:lang w:eastAsia="zh-CN"/>
        </w:rPr>
        <w:t xml:space="preserve">, would not represent an increase in the scaling factor by a factor of 9. At </w:t>
      </w:r>
      <w:proofErr w:type="spellStart"/>
      <w:r>
        <w:rPr>
          <w:lang w:eastAsia="zh-CN"/>
        </w:rPr>
        <w:t>worse case</w:t>
      </w:r>
      <w:proofErr w:type="spellEnd"/>
      <w:r>
        <w:rPr>
          <w:lang w:eastAsia="zh-CN"/>
        </w:rPr>
        <w:t xml:space="preserve"> scenario, that would represent an increase of 4.5 times in the NRS based measurements. Hence, increasing the time by a scaling factor of 9 cannot be accepted. </w:t>
      </w:r>
    </w:p>
    <w:p w14:paraId="54E2F2C2" w14:textId="177458CB" w:rsidR="0011051A" w:rsidRDefault="0011051A" w:rsidP="001F4F52">
      <w:pPr>
        <w:rPr>
          <w:lang w:eastAsia="zh-CN"/>
        </w:rPr>
      </w:pPr>
      <w:r>
        <w:rPr>
          <w:lang w:eastAsia="zh-CN"/>
        </w:rPr>
        <w:t>Besides</w:t>
      </w:r>
      <w:r w:rsidR="00814BA9">
        <w:rPr>
          <w:lang w:eastAsia="zh-CN"/>
        </w:rPr>
        <w:t>, the requirements</w:t>
      </w:r>
      <w:r>
        <w:rPr>
          <w:lang w:eastAsia="zh-CN"/>
        </w:rPr>
        <w:t xml:space="preserve"> were already established based on the number of samples to be collected (factors N and M in the respective formulas for time to detect and time to measure). Therefore, they scale naturally with the time for the UE to collect the samples. </w:t>
      </w:r>
      <w:r w:rsidR="00814BA9">
        <w:rPr>
          <w:lang w:eastAsia="zh-CN"/>
        </w:rPr>
        <w:t>So it is natural that assuming that the number of samples do not need to be enlarged, we propose that:</w:t>
      </w:r>
    </w:p>
    <w:p w14:paraId="58C74A93" w14:textId="06F5A010" w:rsidR="00814BA9" w:rsidRDefault="00814BA9" w:rsidP="00814BA9">
      <w:pPr>
        <w:pStyle w:val="RAN4proposal"/>
        <w:rPr>
          <w:lang w:eastAsia="zh-CN"/>
        </w:rPr>
      </w:pPr>
      <w:bookmarkStart w:id="15" w:name="_Toc194073728"/>
      <w:r>
        <w:rPr>
          <w:lang w:eastAsia="zh-CN"/>
        </w:rPr>
        <w:t xml:space="preserve">Do not scale </w:t>
      </w:r>
      <w:proofErr w:type="spellStart"/>
      <w:r>
        <w:rPr>
          <w:lang w:eastAsia="zh-CN"/>
        </w:rPr>
        <w:t>Tmeasure</w:t>
      </w:r>
      <w:proofErr w:type="spellEnd"/>
      <w:r>
        <w:rPr>
          <w:lang w:eastAsia="zh-CN"/>
        </w:rPr>
        <w:t xml:space="preserve"> and </w:t>
      </w:r>
      <w:proofErr w:type="spellStart"/>
      <w:r>
        <w:rPr>
          <w:lang w:eastAsia="zh-CN"/>
        </w:rPr>
        <w:t>Tedetect</w:t>
      </w:r>
      <w:proofErr w:type="spellEnd"/>
      <w:r>
        <w:rPr>
          <w:lang w:eastAsia="zh-CN"/>
        </w:rPr>
        <w:t xml:space="preserve"> for inter-frequency measurements.</w:t>
      </w:r>
      <w:bookmarkEnd w:id="15"/>
      <w:r>
        <w:rPr>
          <w:lang w:eastAsia="zh-CN"/>
        </w:rPr>
        <w:t xml:space="preserve"> </w:t>
      </w:r>
    </w:p>
    <w:p w14:paraId="5E413B27" w14:textId="77777777" w:rsidR="00814BA9" w:rsidRDefault="00814BA9" w:rsidP="00814BA9">
      <w:pPr>
        <w:rPr>
          <w:lang w:eastAsia="zh-CN"/>
        </w:rPr>
      </w:pPr>
    </w:p>
    <w:p w14:paraId="5EA0EF96" w14:textId="7C513BC0" w:rsidR="0011051A" w:rsidRDefault="00814BA9" w:rsidP="001F4F52">
      <w:pPr>
        <w:rPr>
          <w:lang w:eastAsia="zh-CN"/>
        </w:rPr>
      </w:pPr>
      <w:r>
        <w:rPr>
          <w:lang w:eastAsia="zh-CN"/>
        </w:rPr>
        <w:t xml:space="preserve">For the length of the measurement occasions, the pre-conditions for the requirements applicability </w:t>
      </w:r>
      <w:r w:rsidR="0011051A">
        <w:rPr>
          <w:lang w:eastAsia="zh-CN"/>
        </w:rPr>
        <w:t>also establish that:</w:t>
      </w:r>
    </w:p>
    <w:tbl>
      <w:tblPr>
        <w:tblStyle w:val="TableGrid"/>
        <w:tblW w:w="0" w:type="auto"/>
        <w:tblLook w:val="04A0" w:firstRow="1" w:lastRow="0" w:firstColumn="1" w:lastColumn="0" w:noHBand="0" w:noVBand="1"/>
      </w:tblPr>
      <w:tblGrid>
        <w:gridCol w:w="9617"/>
      </w:tblGrid>
      <w:tr w:rsidR="0011051A" w14:paraId="4538BE49" w14:textId="77777777" w:rsidTr="0011051A">
        <w:tc>
          <w:tcPr>
            <w:tcW w:w="9617" w:type="dxa"/>
          </w:tcPr>
          <w:p w14:paraId="72113292" w14:textId="18C0DC66" w:rsidR="0011051A" w:rsidRPr="0011051A" w:rsidRDefault="0011051A" w:rsidP="0011051A">
            <w:pPr>
              <w:pStyle w:val="ListParagraph"/>
              <w:numPr>
                <w:ilvl w:val="0"/>
                <w:numId w:val="37"/>
              </w:numPr>
              <w:rPr>
                <w:lang w:val="en-US" w:eastAsia="zh-CN"/>
              </w:rPr>
            </w:pPr>
            <w:r w:rsidRPr="0011051A">
              <w:rPr>
                <w:lang w:val="en-US" w:eastAsia="zh-CN"/>
              </w:rPr>
              <w:t>Length of MO</w:t>
            </w:r>
            <w:r w:rsidRPr="0011051A">
              <w:rPr>
                <w:vertAlign w:val="subscript"/>
                <w:lang w:val="en-US" w:eastAsia="zh-CN"/>
              </w:rPr>
              <w:t xml:space="preserve">detect_inter_NB1-NC </w:t>
            </w:r>
            <w:r w:rsidRPr="0011051A">
              <w:rPr>
                <w:lang w:val="en-US" w:eastAsia="zh-CN"/>
              </w:rPr>
              <w:t xml:space="preserve"> is at least 200 </w:t>
            </w:r>
            <w:proofErr w:type="spellStart"/>
            <w:r w:rsidRPr="0011051A">
              <w:rPr>
                <w:lang w:val="en-US" w:eastAsia="zh-CN"/>
              </w:rPr>
              <w:t>ms.</w:t>
            </w:r>
            <w:proofErr w:type="spellEnd"/>
          </w:p>
          <w:p w14:paraId="4066DCFD" w14:textId="33F1547A" w:rsidR="0011051A" w:rsidRPr="0011051A" w:rsidRDefault="0011051A" w:rsidP="0011051A">
            <w:pPr>
              <w:pStyle w:val="ListParagraph"/>
              <w:numPr>
                <w:ilvl w:val="0"/>
                <w:numId w:val="37"/>
              </w:numPr>
              <w:rPr>
                <w:lang w:val="en-US" w:eastAsia="zh-CN"/>
              </w:rPr>
            </w:pPr>
            <w:r w:rsidRPr="0011051A">
              <w:rPr>
                <w:lang w:eastAsia="zh-CN"/>
              </w:rPr>
              <w:t>Length of MO</w:t>
            </w:r>
            <w:r w:rsidRPr="0011051A">
              <w:rPr>
                <w:vertAlign w:val="subscript"/>
                <w:lang w:eastAsia="zh-CN"/>
              </w:rPr>
              <w:t xml:space="preserve">measure_inter_NB1-NC </w:t>
            </w:r>
            <w:r w:rsidRPr="0011051A">
              <w:rPr>
                <w:lang w:eastAsia="zh-CN"/>
              </w:rPr>
              <w:t xml:space="preserve"> is at least 50 </w:t>
            </w:r>
            <w:proofErr w:type="spellStart"/>
            <w:r w:rsidRPr="0011051A">
              <w:rPr>
                <w:lang w:eastAsia="zh-CN"/>
              </w:rPr>
              <w:t>ms</w:t>
            </w:r>
            <w:proofErr w:type="spellEnd"/>
            <w:r w:rsidRPr="0011051A">
              <w:rPr>
                <w:lang w:eastAsia="zh-CN"/>
              </w:rPr>
              <w:t>.</w:t>
            </w:r>
          </w:p>
        </w:tc>
      </w:tr>
    </w:tbl>
    <w:p w14:paraId="0C7C5E62" w14:textId="77777777" w:rsidR="0011051A" w:rsidRDefault="0011051A" w:rsidP="001F4F52">
      <w:pPr>
        <w:rPr>
          <w:lang w:eastAsia="zh-CN"/>
        </w:rPr>
      </w:pPr>
    </w:p>
    <w:p w14:paraId="25B9210F" w14:textId="59575808" w:rsidR="0011051A" w:rsidRDefault="0011051A" w:rsidP="006A3544">
      <w:pPr>
        <w:spacing w:after="180" w:line="276" w:lineRule="auto"/>
        <w:rPr>
          <w:rFonts w:eastAsia="SimSun" w:cs="Times New Roman"/>
          <w:szCs w:val="20"/>
          <w:lang w:val="en-US" w:eastAsia="ko-KR"/>
        </w:rPr>
      </w:pPr>
      <w:r>
        <w:rPr>
          <w:rFonts w:eastAsia="SimSun" w:cs="Times New Roman"/>
          <w:szCs w:val="20"/>
          <w:lang w:val="en-US" w:eastAsia="ko-KR"/>
        </w:rPr>
        <w:t xml:space="preserve">For the measurement window opportunities of the time to detect, we believe it can be made smaller than 200ms. As there are more </w:t>
      </w:r>
      <w:proofErr w:type="gramStart"/>
      <w:r>
        <w:rPr>
          <w:rFonts w:eastAsia="SimSun" w:cs="Times New Roman"/>
          <w:szCs w:val="20"/>
          <w:lang w:val="en-US" w:eastAsia="ko-KR"/>
        </w:rPr>
        <w:t>well defined</w:t>
      </w:r>
      <w:proofErr w:type="gramEnd"/>
      <w:r>
        <w:rPr>
          <w:rFonts w:eastAsia="SimSun" w:cs="Times New Roman"/>
          <w:szCs w:val="20"/>
          <w:lang w:val="en-US" w:eastAsia="ko-KR"/>
        </w:rPr>
        <w:t xml:space="preserve"> opportunities for measuring in the new frame pattern (due to inactivity in the serving cell)</w:t>
      </w:r>
      <w:r w:rsidR="00814BA9">
        <w:rPr>
          <w:rFonts w:eastAsia="SimSun" w:cs="Times New Roman"/>
          <w:szCs w:val="20"/>
          <w:lang w:val="en-US" w:eastAsia="ko-KR"/>
        </w:rPr>
        <w:t>, it might be useful to establish smaller MO to avoid overlapping with the DL opportunities of the serving cell, while allowing</w:t>
      </w:r>
      <w:r w:rsidR="00803C11">
        <w:rPr>
          <w:rFonts w:eastAsia="SimSun" w:cs="Times New Roman"/>
          <w:szCs w:val="20"/>
          <w:lang w:val="en-US" w:eastAsia="ko-KR"/>
        </w:rPr>
        <w:t>. One potential approach is to have the minimum length of measurement equal to the interval between the end of one DL occasion X (X=1,2,3 or 4) to the start of the next DL occasion X.</w:t>
      </w:r>
    </w:p>
    <w:p w14:paraId="4543826D" w14:textId="4FD416D5" w:rsidR="0011051A" w:rsidRDefault="00814BA9" w:rsidP="0011051A">
      <w:pPr>
        <w:pStyle w:val="RAN4proposal"/>
        <w:rPr>
          <w:lang w:val="en-US" w:eastAsia="ko-KR"/>
        </w:rPr>
      </w:pPr>
      <w:bookmarkStart w:id="16" w:name="_Toc194073729"/>
      <w:r w:rsidRPr="006A3544">
        <w:rPr>
          <w:rFonts w:eastAsia="Malgun Gothic" w:cs="Times New Roman"/>
          <w:szCs w:val="21"/>
          <w:lang w:eastAsia="ko-KR"/>
        </w:rPr>
        <w:t>For inter-frequency measurement, the minimum length of measurement occasions is</w:t>
      </w:r>
      <w:r>
        <w:rPr>
          <w:rFonts w:eastAsia="Malgun Gothic" w:cs="Times New Roman"/>
          <w:szCs w:val="21"/>
          <w:lang w:eastAsia="ko-KR"/>
        </w:rPr>
        <w:t xml:space="preserve"> </w:t>
      </w:r>
      <w:r w:rsidR="00803C11">
        <w:rPr>
          <w:rFonts w:eastAsia="Malgun Gothic" w:cs="Times New Roman"/>
          <w:szCs w:val="21"/>
          <w:lang w:eastAsia="ko-KR"/>
        </w:rPr>
        <w:t>[82]</w:t>
      </w:r>
      <w:r>
        <w:rPr>
          <w:rFonts w:eastAsia="Malgun Gothic" w:cs="Times New Roman"/>
          <w:szCs w:val="21"/>
          <w:lang w:eastAsia="ko-KR"/>
        </w:rPr>
        <w:t xml:space="preserve"> </w:t>
      </w:r>
      <w:proofErr w:type="spellStart"/>
      <w:r>
        <w:rPr>
          <w:rFonts w:eastAsia="Malgun Gothic" w:cs="Times New Roman"/>
          <w:szCs w:val="21"/>
          <w:lang w:eastAsia="ko-KR"/>
        </w:rPr>
        <w:t>ms</w:t>
      </w:r>
      <w:proofErr w:type="spellEnd"/>
      <w:r>
        <w:rPr>
          <w:rFonts w:eastAsia="Malgun Gothic" w:cs="Times New Roman"/>
          <w:szCs w:val="21"/>
          <w:lang w:eastAsia="ko-KR"/>
        </w:rPr>
        <w:t>.</w:t>
      </w:r>
      <w:bookmarkEnd w:id="16"/>
    </w:p>
    <w:p w14:paraId="791C06CF" w14:textId="77777777" w:rsidR="0011051A" w:rsidRDefault="0011051A" w:rsidP="006A3544">
      <w:pPr>
        <w:spacing w:after="180" w:line="276" w:lineRule="auto"/>
        <w:rPr>
          <w:rFonts w:eastAsia="SimSun" w:cs="Times New Roman"/>
          <w:szCs w:val="20"/>
          <w:lang w:val="en-US" w:eastAsia="ko-KR"/>
        </w:rPr>
      </w:pPr>
    </w:p>
    <w:p w14:paraId="04B5F733" w14:textId="4E182C06" w:rsidR="00CA3EA1" w:rsidRDefault="00CA3EA1" w:rsidP="00CA3EA1">
      <w:pPr>
        <w:pStyle w:val="RAN4H3"/>
        <w:rPr>
          <w:lang w:val="en-US" w:eastAsia="ko-KR"/>
        </w:rPr>
      </w:pPr>
      <w:r>
        <w:rPr>
          <w:lang w:val="en-US" w:eastAsia="ko-KR"/>
        </w:rPr>
        <w:t>Measurement conditions</w:t>
      </w:r>
    </w:p>
    <w:p w14:paraId="7A9D93F9" w14:textId="26D2F44A" w:rsidR="00CA3EA1" w:rsidRDefault="00CA3EA1" w:rsidP="00CA3EA1">
      <w:pPr>
        <w:rPr>
          <w:lang w:val="en-US" w:eastAsia="ko-KR"/>
        </w:rPr>
      </w:pPr>
      <w:r>
        <w:rPr>
          <w:lang w:val="en-US" w:eastAsia="ko-KR"/>
        </w:rPr>
        <w:t>For all cases above, regardless whether the requirements are scaled or not, the UE might not be capable of tracking the neighbor cells (each with a DL active time inferior to 10%</w:t>
      </w:r>
      <w:r w:rsidR="006B5F18">
        <w:rPr>
          <w:lang w:val="en-US" w:eastAsia="ko-KR"/>
        </w:rPr>
        <w:t xml:space="preserve"> of the TDD frame</w:t>
      </w:r>
      <w:r>
        <w:rPr>
          <w:lang w:val="en-US" w:eastAsia="ko-KR"/>
        </w:rPr>
        <w:t xml:space="preserve">) if it is not provided firstly with assistance information on the DL periodic patterns. </w:t>
      </w:r>
    </w:p>
    <w:p w14:paraId="1BC5B263" w14:textId="157E0364" w:rsidR="00CA3EA1" w:rsidRDefault="00CA3EA1" w:rsidP="00CA3EA1">
      <w:pPr>
        <w:pStyle w:val="RAN4proposal"/>
        <w:rPr>
          <w:lang w:val="en-US" w:eastAsia="ko-KR"/>
        </w:rPr>
      </w:pPr>
      <w:bookmarkStart w:id="17" w:name="_Toc194073730"/>
      <w:r>
        <w:rPr>
          <w:lang w:val="en-US" w:eastAsia="ko-KR"/>
        </w:rPr>
        <w:t>Requirements are applicable if the cells is provided with assistance information on the DL periodic patterns of the cells to be measured.</w:t>
      </w:r>
      <w:bookmarkEnd w:id="17"/>
      <w:r>
        <w:rPr>
          <w:lang w:val="en-US" w:eastAsia="ko-KR"/>
        </w:rPr>
        <w:t xml:space="preserve"> </w:t>
      </w:r>
    </w:p>
    <w:p w14:paraId="388ED9A7" w14:textId="77777777" w:rsidR="00CA3EA1" w:rsidRDefault="00CA3EA1" w:rsidP="00CA3EA1">
      <w:pPr>
        <w:rPr>
          <w:lang w:val="en-US" w:eastAsia="ko-KR"/>
        </w:rPr>
      </w:pPr>
    </w:p>
    <w:p w14:paraId="037CEAB1" w14:textId="61C7E9CF" w:rsidR="00CA3EA1" w:rsidRDefault="00CA3EA1" w:rsidP="00CA3EA1">
      <w:r>
        <w:rPr>
          <w:lang w:val="en-US" w:eastAsia="ko-KR"/>
        </w:rPr>
        <w:t xml:space="preserve">Another issue is related to the side conditions for the signals to be measured. </w:t>
      </w:r>
      <w:r>
        <w:t>In Clause 8.14A, it is established that the measurements of the serving cell are applicable provided that some side conditions are fulfilled:</w:t>
      </w:r>
    </w:p>
    <w:p w14:paraId="6A443628" w14:textId="77777777" w:rsidR="00CA3EA1" w:rsidRDefault="00CA3EA1" w:rsidP="00CA3EA1"/>
    <w:tbl>
      <w:tblPr>
        <w:tblStyle w:val="TableGrid"/>
        <w:tblW w:w="0" w:type="auto"/>
        <w:tblLook w:val="04A0" w:firstRow="1" w:lastRow="0" w:firstColumn="1" w:lastColumn="0" w:noHBand="0" w:noVBand="1"/>
      </w:tblPr>
      <w:tblGrid>
        <w:gridCol w:w="9617"/>
      </w:tblGrid>
      <w:tr w:rsidR="00CA3EA1" w14:paraId="4CB9D640" w14:textId="77777777">
        <w:tc>
          <w:tcPr>
            <w:tcW w:w="9617" w:type="dxa"/>
          </w:tcPr>
          <w:p w14:paraId="55DE7CAA" w14:textId="77777777" w:rsidR="00CA3EA1" w:rsidRPr="009304F4" w:rsidRDefault="00CA3EA1">
            <w:pPr>
              <w:rPr>
                <w:lang w:val="en-US"/>
              </w:rPr>
            </w:pPr>
            <w:r w:rsidRPr="009304F4">
              <w:rPr>
                <w:lang w:val="en-US"/>
              </w:rPr>
              <w:t>The UE shall meet all applicable requirements specified in clause 8.14A under the following conditions:</w:t>
            </w:r>
          </w:p>
          <w:p w14:paraId="53616152" w14:textId="77777777" w:rsidR="00CA3EA1" w:rsidRPr="009304F4" w:rsidRDefault="00CA3EA1">
            <w:pPr>
              <w:rPr>
                <w:lang w:val="en-US"/>
              </w:rPr>
            </w:pPr>
            <w:r w:rsidRPr="009304F4">
              <w:rPr>
                <w:lang w:val="en-US"/>
              </w:rPr>
              <w:lastRenderedPageBreak/>
              <w:t>-</w:t>
            </w:r>
            <w:r w:rsidRPr="009304F4">
              <w:rPr>
                <w:lang w:val="en-US"/>
              </w:rPr>
              <w:tab/>
              <w:t xml:space="preserve">at least 1 DL subframe </w:t>
            </w:r>
            <w:r w:rsidRPr="009304F4">
              <w:rPr>
                <w:highlight w:val="yellow"/>
                <w:lang w:val="en-US"/>
              </w:rPr>
              <w:t>per radio frame</w:t>
            </w:r>
            <w:r w:rsidRPr="009304F4">
              <w:rPr>
                <w:lang w:val="en-US"/>
              </w:rPr>
              <w:t xml:space="preserve"> of serving NB-IoT cell is available at the UE during measurement period.</w:t>
            </w:r>
          </w:p>
          <w:p w14:paraId="59DF5F47" w14:textId="77777777" w:rsidR="00CA3EA1" w:rsidRPr="009304F4" w:rsidRDefault="00CA3EA1">
            <w:pPr>
              <w:rPr>
                <w:lang w:val="en-US"/>
              </w:rPr>
            </w:pPr>
            <w:r w:rsidRPr="009304F4">
              <w:rPr>
                <w:lang w:val="en-US"/>
              </w:rPr>
              <w:t>-</w:t>
            </w:r>
            <w:r w:rsidRPr="009304F4">
              <w:rPr>
                <w:lang w:val="en-US"/>
              </w:rPr>
              <w:tab/>
              <w:t>Valid information for the serving satellite has been provided</w:t>
            </w:r>
          </w:p>
          <w:p w14:paraId="6957147C" w14:textId="77777777" w:rsidR="00CA3EA1" w:rsidRPr="009304F4" w:rsidRDefault="00CA3EA1">
            <w:pPr>
              <w:rPr>
                <w:lang w:val="en-US"/>
              </w:rPr>
            </w:pPr>
          </w:p>
        </w:tc>
      </w:tr>
    </w:tbl>
    <w:p w14:paraId="105D4319" w14:textId="77777777" w:rsidR="00CA3EA1" w:rsidRPr="009304F4" w:rsidRDefault="00CA3EA1" w:rsidP="00CA3EA1"/>
    <w:p w14:paraId="64E3D47F" w14:textId="77777777" w:rsidR="00CA3EA1" w:rsidRPr="009F07D8" w:rsidRDefault="00CA3EA1" w:rsidP="00CA3EA1">
      <w:r>
        <w:t xml:space="preserve">The first condition might be a non-reachable condition for the new IoT TDD frame. The reason is that only one or two frames are partially transmitted at every 90 </w:t>
      </w:r>
      <w:proofErr w:type="spellStart"/>
      <w:r>
        <w:t>ms</w:t>
      </w:r>
      <w:proofErr w:type="spellEnd"/>
      <w:r>
        <w:t xml:space="preserve">. Therefore, the condition might never be fulfilled if the radio frames not transmitted by the network are considered as unavailable. The only scenario where this condition can be achieved depends on whether RAN1 adapts the radio frame counting such that only active radio frames are counted or considered valid ones. </w:t>
      </w:r>
    </w:p>
    <w:p w14:paraId="135BF1BE" w14:textId="4892AC3C" w:rsidR="00CA3EA1" w:rsidRDefault="00CA3EA1" w:rsidP="00CA3EA1">
      <w:pPr>
        <w:pStyle w:val="RAN4proposal"/>
        <w:rPr>
          <w:lang w:val="en-US"/>
        </w:rPr>
      </w:pPr>
      <w:bookmarkStart w:id="18" w:name="_Toc189838967"/>
      <w:bookmarkStart w:id="19" w:name="_Toc194073731"/>
      <w:r w:rsidRPr="00243917">
        <w:t>Revise the</w:t>
      </w:r>
      <w:r>
        <w:t xml:space="preserve"> </w:t>
      </w:r>
      <w:r w:rsidRPr="00243917">
        <w:t>condition where at least one 1 DL subframe per radio frame has to be available at the UE during the measurement period</w:t>
      </w:r>
      <w:bookmarkEnd w:id="18"/>
      <w:r>
        <w:t xml:space="preserve"> to: “at least 1 DL subframe </w:t>
      </w:r>
      <w:r w:rsidRPr="00CA3EA1">
        <w:rPr>
          <w:highlight w:val="yellow"/>
        </w:rPr>
        <w:t>per active</w:t>
      </w:r>
      <w:r>
        <w:t xml:space="preserve"> DL radio frame of </w:t>
      </w:r>
      <w:r w:rsidRPr="009304F4">
        <w:rPr>
          <w:lang w:val="en-US"/>
        </w:rPr>
        <w:t xml:space="preserve"> serving NB-IoT cell is available at the UE during measurement</w:t>
      </w:r>
      <w:r>
        <w:rPr>
          <w:lang w:val="en-US"/>
        </w:rPr>
        <w:t>”</w:t>
      </w:r>
      <w:bookmarkEnd w:id="19"/>
    </w:p>
    <w:p w14:paraId="06431CD7" w14:textId="32C36C07" w:rsidR="00CA3EA1" w:rsidRPr="00CA3EA1" w:rsidRDefault="00CA3EA1" w:rsidP="00CA3EA1">
      <w:pPr>
        <w:pStyle w:val="RAN4observation0"/>
        <w:rPr>
          <w:lang w:val="en-US"/>
        </w:rPr>
      </w:pPr>
      <w:bookmarkStart w:id="20" w:name="_Toc194073732"/>
      <w:r>
        <w:rPr>
          <w:lang w:val="en-US"/>
        </w:rPr>
        <w:t>The proposal above is not limited to connected mode measurements in the neighbor cells, but also to other measurement evaluations where the “1 DL subframe per radio frame” is not a reachable condition (clauses 7.23A, 8.14A, 9.1</w:t>
      </w:r>
      <w:r w:rsidR="00FD6380">
        <w:rPr>
          <w:lang w:val="en-US"/>
        </w:rPr>
        <w:t xml:space="preserve">.22A, </w:t>
      </w:r>
      <w:proofErr w:type="spellStart"/>
      <w:r w:rsidR="00FD6380">
        <w:rPr>
          <w:lang w:val="en-US"/>
        </w:rPr>
        <w:t>etc</w:t>
      </w:r>
      <w:proofErr w:type="spellEnd"/>
      <w:r w:rsidR="00FD6380">
        <w:rPr>
          <w:lang w:val="en-US"/>
        </w:rPr>
        <w:t>).</w:t>
      </w:r>
      <w:bookmarkEnd w:id="20"/>
      <w:r w:rsidR="00FD6380">
        <w:rPr>
          <w:lang w:val="en-US"/>
        </w:rPr>
        <w:t xml:space="preserve"> </w:t>
      </w:r>
    </w:p>
    <w:p w14:paraId="0716746B" w14:textId="77777777" w:rsidR="00CA3EA1" w:rsidRPr="00CA3EA1" w:rsidRDefault="00CA3EA1" w:rsidP="00CA3EA1">
      <w:pPr>
        <w:rPr>
          <w:lang w:eastAsia="ko-KR"/>
        </w:rPr>
      </w:pPr>
    </w:p>
    <w:p w14:paraId="62F31663" w14:textId="09DFBD0F" w:rsidR="00814BA9" w:rsidRDefault="00814BA9" w:rsidP="00814BA9">
      <w:pPr>
        <w:pStyle w:val="RAN4H2"/>
        <w:rPr>
          <w:rFonts w:eastAsia="SimSun"/>
          <w:lang w:val="en-US" w:eastAsia="ko-KR"/>
        </w:rPr>
      </w:pPr>
      <w:r>
        <w:rPr>
          <w:rFonts w:eastAsia="SimSun"/>
          <w:lang w:val="en-US" w:eastAsia="ko-KR"/>
        </w:rPr>
        <w:t>RRC Re-establishment and RLM</w:t>
      </w:r>
    </w:p>
    <w:p w14:paraId="1B7B5B31" w14:textId="6314C954" w:rsidR="00814BA9" w:rsidRDefault="00814BA9" w:rsidP="00814BA9">
      <w:pPr>
        <w:rPr>
          <w:lang w:val="en-US" w:eastAsia="ko-KR"/>
        </w:rPr>
      </w:pPr>
      <w:r>
        <w:rPr>
          <w:lang w:val="en-US" w:eastAsia="ko-KR"/>
        </w:rPr>
        <w:t>There are also open issues related to RLM and RRC Re-establishment, also addressing the more sparse conditions for measurements. They are listed as follows:</w:t>
      </w:r>
    </w:p>
    <w:tbl>
      <w:tblPr>
        <w:tblStyle w:val="TableGrid"/>
        <w:tblW w:w="0" w:type="auto"/>
        <w:tblLook w:val="04A0" w:firstRow="1" w:lastRow="0" w:firstColumn="1" w:lastColumn="0" w:noHBand="0" w:noVBand="1"/>
      </w:tblPr>
      <w:tblGrid>
        <w:gridCol w:w="9617"/>
      </w:tblGrid>
      <w:tr w:rsidR="00814BA9" w14:paraId="4A1ED00B" w14:textId="77777777" w:rsidTr="00814BA9">
        <w:tc>
          <w:tcPr>
            <w:tcW w:w="9617" w:type="dxa"/>
          </w:tcPr>
          <w:p w14:paraId="0732B8AC" w14:textId="77777777" w:rsidR="00814BA9" w:rsidRPr="006A3544" w:rsidRDefault="00814BA9" w:rsidP="00814BA9">
            <w:pPr>
              <w:spacing w:after="180" w:line="276" w:lineRule="auto"/>
              <w:outlineLvl w:val="1"/>
              <w:rPr>
                <w:rFonts w:eastAsia="SimSun" w:cs="Times New Roman"/>
                <w:b/>
                <w:szCs w:val="20"/>
                <w:u w:val="single"/>
                <w:lang w:eastAsia="ko-KR"/>
              </w:rPr>
            </w:pPr>
            <w:r w:rsidRPr="006A3544">
              <w:rPr>
                <w:rFonts w:eastAsia="SimSun" w:cs="Times New Roman"/>
                <w:b/>
                <w:szCs w:val="20"/>
                <w:u w:val="single"/>
                <w:lang w:eastAsia="ko-KR"/>
              </w:rPr>
              <w:t xml:space="preserve">Issue 3: </w:t>
            </w:r>
            <w:r w:rsidRPr="006A3544">
              <w:rPr>
                <w:rFonts w:eastAsia="SimSun" w:cs="Times New Roman"/>
                <w:b/>
                <w:bCs/>
                <w:szCs w:val="20"/>
                <w:u w:val="single"/>
                <w:lang w:val="en-US" w:eastAsia="zh-CN"/>
              </w:rPr>
              <w:t>RRC re-establishment (6.5A)</w:t>
            </w:r>
          </w:p>
          <w:p w14:paraId="3FE3448C" w14:textId="77777777" w:rsidR="00814BA9" w:rsidRPr="006A3544" w:rsidRDefault="00814BA9" w:rsidP="00814BA9">
            <w:pPr>
              <w:snapToGrid w:val="0"/>
              <w:spacing w:after="120" w:line="276" w:lineRule="auto"/>
              <w:rPr>
                <w:rFonts w:eastAsia="SimSun" w:cs="Times New Roman"/>
                <w:szCs w:val="21"/>
                <w:highlight w:val="green"/>
                <w:lang w:eastAsia="zh-CN"/>
              </w:rPr>
            </w:pPr>
            <w:r w:rsidRPr="006A3544">
              <w:rPr>
                <w:rFonts w:eastAsia="SimSun" w:cs="Times New Roman"/>
                <w:szCs w:val="21"/>
                <w:highlight w:val="green"/>
                <w:lang w:eastAsia="zh-CN"/>
              </w:rPr>
              <w:t>Agreement (online):</w:t>
            </w:r>
          </w:p>
          <w:p w14:paraId="0CC99331" w14:textId="77777777" w:rsidR="00814BA9" w:rsidRPr="006A3544" w:rsidRDefault="00814BA9" w:rsidP="00814BA9">
            <w:pPr>
              <w:snapToGrid w:val="0"/>
              <w:spacing w:after="120" w:line="276" w:lineRule="auto"/>
              <w:rPr>
                <w:rFonts w:eastAsia="SimSun" w:cs="Times New Roman"/>
                <w:szCs w:val="21"/>
                <w:lang w:eastAsia="ja-JP"/>
              </w:rPr>
            </w:pPr>
            <w:r w:rsidRPr="006A3544">
              <w:rPr>
                <w:rFonts w:eastAsia="SimSun" w:cs="Times New Roman"/>
                <w:szCs w:val="21"/>
                <w:u w:val="single"/>
                <w:lang w:eastAsia="ja-JP"/>
              </w:rPr>
              <w:t>In the core requirement</w:t>
            </w:r>
            <w:r w:rsidRPr="006A3544">
              <w:rPr>
                <w:rFonts w:eastAsia="SimSun" w:cs="Times New Roman"/>
                <w:szCs w:val="21"/>
                <w:lang w:eastAsia="ja-JP"/>
              </w:rPr>
              <w:t>, For the delay requirement (</w:t>
            </w:r>
            <w:proofErr w:type="spellStart"/>
            <w:r w:rsidRPr="006A3544">
              <w:rPr>
                <w:rFonts w:eastAsia="Malgun Gothic" w:cs="Times New Roman"/>
                <w:szCs w:val="21"/>
                <w:lang w:eastAsia="ko-KR"/>
              </w:rPr>
              <w:t>TUL_grant</w:t>
            </w:r>
            <w:proofErr w:type="spellEnd"/>
            <w:r w:rsidRPr="006A3544">
              <w:rPr>
                <w:rFonts w:eastAsia="Malgun Gothic" w:cs="Times New Roman"/>
                <w:szCs w:val="21"/>
                <w:lang w:eastAsia="ko-KR"/>
              </w:rPr>
              <w:t xml:space="preserve"> + </w:t>
            </w:r>
            <w:proofErr w:type="spellStart"/>
            <w:r w:rsidRPr="006A3544">
              <w:rPr>
                <w:rFonts w:eastAsia="Malgun Gothic" w:cs="Times New Roman"/>
                <w:szCs w:val="21"/>
                <w:lang w:eastAsia="ko-KR"/>
              </w:rPr>
              <w:t>TUE_re</w:t>
            </w:r>
            <w:proofErr w:type="spellEnd"/>
            <w:r w:rsidRPr="006A3544">
              <w:rPr>
                <w:rFonts w:eastAsia="Malgun Gothic" w:cs="Times New Roman"/>
                <w:szCs w:val="21"/>
                <w:lang w:eastAsia="ko-KR"/>
              </w:rPr>
              <w:t>-</w:t>
            </w:r>
            <w:proofErr w:type="spellStart"/>
            <w:r w:rsidRPr="006A3544">
              <w:rPr>
                <w:rFonts w:eastAsia="Malgun Gothic" w:cs="Times New Roman"/>
                <w:szCs w:val="21"/>
                <w:lang w:eastAsia="ko-KR"/>
              </w:rPr>
              <w:t>establish_delay_NB</w:t>
            </w:r>
            <w:proofErr w:type="spellEnd"/>
            <w:r w:rsidRPr="006A3544">
              <w:rPr>
                <w:rFonts w:eastAsia="Malgun Gothic" w:cs="Times New Roman"/>
                <w:szCs w:val="21"/>
                <w:lang w:eastAsia="ko-KR"/>
              </w:rPr>
              <w:t>-IoT</w:t>
            </w:r>
            <w:r w:rsidRPr="006A3544">
              <w:rPr>
                <w:rFonts w:eastAsia="SimSun" w:cs="Times New Roman"/>
                <w:szCs w:val="21"/>
                <w:lang w:eastAsia="ja-JP"/>
              </w:rPr>
              <w:t xml:space="preserve">) of RRC re-establishment for TDD NB-IoT in NTN, </w:t>
            </w:r>
          </w:p>
          <w:p w14:paraId="2C207A98" w14:textId="77777777" w:rsidR="00814BA9" w:rsidRPr="006A3544" w:rsidRDefault="00814BA9" w:rsidP="00814BA9">
            <w:pPr>
              <w:numPr>
                <w:ilvl w:val="0"/>
                <w:numId w:val="29"/>
              </w:numPr>
              <w:snapToGrid w:val="0"/>
              <w:spacing w:after="120" w:line="276" w:lineRule="auto"/>
              <w:ind w:left="720"/>
              <w:rPr>
                <w:rFonts w:eastAsia="Malgun Gothic" w:cs="Times New Roman"/>
                <w:szCs w:val="21"/>
                <w:lang w:eastAsia="ko-KR"/>
              </w:rPr>
            </w:pPr>
            <w:r w:rsidRPr="006A3544">
              <w:rPr>
                <w:rFonts w:eastAsia="Malgun Gothic" w:cs="Times New Roman"/>
                <w:szCs w:val="21"/>
                <w:lang w:eastAsia="ko-KR"/>
              </w:rPr>
              <w:t xml:space="preserve">No update to </w:t>
            </w:r>
            <w:proofErr w:type="spellStart"/>
            <w:r w:rsidRPr="006A3544">
              <w:rPr>
                <w:rFonts w:eastAsia="Malgun Gothic" w:cs="Times New Roman"/>
                <w:szCs w:val="21"/>
                <w:lang w:eastAsia="ko-KR"/>
              </w:rPr>
              <w:t>TUL_grant</w:t>
            </w:r>
            <w:proofErr w:type="spellEnd"/>
          </w:p>
          <w:p w14:paraId="750BF11B" w14:textId="77777777" w:rsidR="00814BA9" w:rsidRPr="006A3544" w:rsidRDefault="00814BA9" w:rsidP="00814BA9">
            <w:pPr>
              <w:numPr>
                <w:ilvl w:val="0"/>
                <w:numId w:val="29"/>
              </w:numPr>
              <w:snapToGrid w:val="0"/>
              <w:spacing w:after="120" w:line="276" w:lineRule="auto"/>
              <w:ind w:left="720"/>
              <w:rPr>
                <w:rFonts w:eastAsia="Malgun Gothic" w:cs="Times New Roman"/>
                <w:szCs w:val="21"/>
                <w:lang w:eastAsia="ko-KR"/>
              </w:rPr>
            </w:pPr>
            <w:r w:rsidRPr="006A3544">
              <w:rPr>
                <w:rFonts w:eastAsia="Malgun Gothic" w:cs="Times New Roman"/>
                <w:szCs w:val="21"/>
                <w:lang w:eastAsia="ko-KR"/>
              </w:rPr>
              <w:t xml:space="preserve">For the following parameters in </w:t>
            </w:r>
            <w:proofErr w:type="spellStart"/>
            <w:r w:rsidRPr="006A3544">
              <w:rPr>
                <w:rFonts w:eastAsia="Malgun Gothic" w:cs="Times New Roman"/>
                <w:szCs w:val="21"/>
                <w:lang w:eastAsia="ko-KR"/>
              </w:rPr>
              <w:t>T</w:t>
            </w:r>
            <w:r w:rsidRPr="006A3544">
              <w:rPr>
                <w:rFonts w:eastAsia="Malgun Gothic" w:cs="Times New Roman"/>
                <w:szCs w:val="21"/>
                <w:vertAlign w:val="subscript"/>
                <w:lang w:eastAsia="ko-KR"/>
              </w:rPr>
              <w:t>UE_re</w:t>
            </w:r>
            <w:proofErr w:type="spellEnd"/>
            <w:r w:rsidRPr="006A3544">
              <w:rPr>
                <w:rFonts w:eastAsia="Malgun Gothic" w:cs="Times New Roman"/>
                <w:szCs w:val="21"/>
                <w:vertAlign w:val="subscript"/>
                <w:lang w:eastAsia="ko-KR"/>
              </w:rPr>
              <w:t>-</w:t>
            </w:r>
            <w:proofErr w:type="spellStart"/>
            <w:r w:rsidRPr="006A3544">
              <w:rPr>
                <w:rFonts w:eastAsia="Malgun Gothic" w:cs="Times New Roman"/>
                <w:szCs w:val="21"/>
                <w:vertAlign w:val="subscript"/>
                <w:lang w:eastAsia="ko-KR"/>
              </w:rPr>
              <w:t>establish_delay_NB</w:t>
            </w:r>
            <w:proofErr w:type="spellEnd"/>
            <w:r w:rsidRPr="006A3544">
              <w:rPr>
                <w:rFonts w:eastAsia="Malgun Gothic" w:cs="Times New Roman"/>
                <w:szCs w:val="21"/>
                <w:vertAlign w:val="subscript"/>
                <w:lang w:eastAsia="ko-KR"/>
              </w:rPr>
              <w:t>-IoT</w:t>
            </w:r>
          </w:p>
          <w:p w14:paraId="662D9B7B" w14:textId="77777777" w:rsidR="00814BA9" w:rsidRPr="006A3544" w:rsidRDefault="00814BA9" w:rsidP="00814BA9">
            <w:pPr>
              <w:numPr>
                <w:ilvl w:val="1"/>
                <w:numId w:val="30"/>
              </w:numPr>
              <w:snapToGrid w:val="0"/>
              <w:spacing w:after="120" w:line="276" w:lineRule="auto"/>
              <w:rPr>
                <w:rFonts w:eastAsia="Malgun Gothic" w:cs="Times New Roman"/>
                <w:szCs w:val="21"/>
                <w:lang w:eastAsia="ko-KR"/>
              </w:rPr>
            </w:pPr>
            <w:r w:rsidRPr="006A3544">
              <w:rPr>
                <w:rFonts w:eastAsia="Malgun Gothic" w:cs="Times New Roman"/>
                <w:szCs w:val="21"/>
                <w:lang w:eastAsia="ko-KR"/>
              </w:rPr>
              <w:t>No update:</w:t>
            </w:r>
          </w:p>
          <w:p w14:paraId="7EB2B57E" w14:textId="77777777" w:rsidR="00814BA9" w:rsidRPr="006A3544" w:rsidRDefault="00814BA9" w:rsidP="00814BA9">
            <w:pPr>
              <w:numPr>
                <w:ilvl w:val="2"/>
                <w:numId w:val="30"/>
              </w:numPr>
              <w:snapToGrid w:val="0"/>
              <w:spacing w:after="120" w:line="276" w:lineRule="auto"/>
              <w:ind w:left="1440"/>
              <w:rPr>
                <w:rFonts w:eastAsia="Malgun Gothic" w:cs="Times New Roman"/>
                <w:szCs w:val="21"/>
                <w:lang w:eastAsia="ko-KR"/>
              </w:rPr>
            </w:pPr>
            <w:r w:rsidRPr="006A3544">
              <w:rPr>
                <w:rFonts w:eastAsia="Malgun Gothic" w:cs="Times New Roman"/>
                <w:szCs w:val="21"/>
                <w:lang w:eastAsia="ko-KR"/>
              </w:rPr>
              <w:t>T</w:t>
            </w:r>
            <w:r w:rsidRPr="006A3544">
              <w:rPr>
                <w:rFonts w:eastAsia="Malgun Gothic" w:cs="Times New Roman"/>
                <w:szCs w:val="21"/>
                <w:vertAlign w:val="subscript"/>
                <w:lang w:eastAsia="ko-KR"/>
              </w:rPr>
              <w:t>PRACH_NB-IoT</w:t>
            </w:r>
          </w:p>
          <w:p w14:paraId="28E98D9F" w14:textId="77777777" w:rsidR="00814BA9" w:rsidRPr="006A3544" w:rsidRDefault="00814BA9" w:rsidP="00814BA9">
            <w:pPr>
              <w:numPr>
                <w:ilvl w:val="2"/>
                <w:numId w:val="30"/>
              </w:numPr>
              <w:snapToGrid w:val="0"/>
              <w:spacing w:after="120" w:line="276" w:lineRule="auto"/>
              <w:ind w:left="1440"/>
              <w:rPr>
                <w:rFonts w:eastAsia="Malgun Gothic" w:cs="Times New Roman"/>
                <w:szCs w:val="21"/>
                <w:lang w:eastAsia="ko-KR"/>
              </w:rPr>
            </w:pPr>
            <w:r w:rsidRPr="006A3544">
              <w:rPr>
                <w:rFonts w:eastAsia="Malgun Gothic" w:cs="Times New Roman"/>
                <w:szCs w:val="21"/>
                <w:lang w:eastAsia="ko-KR"/>
              </w:rPr>
              <w:t>T</w:t>
            </w:r>
            <w:r w:rsidRPr="006A3544">
              <w:rPr>
                <w:rFonts w:eastAsia="Malgun Gothic" w:cs="Times New Roman"/>
                <w:szCs w:val="21"/>
                <w:vertAlign w:val="subscript"/>
                <w:lang w:eastAsia="ko-KR"/>
              </w:rPr>
              <w:t>SI_NB1-NC</w:t>
            </w:r>
            <w:r w:rsidRPr="006A3544">
              <w:rPr>
                <w:rFonts w:eastAsia="Malgun Gothic" w:cs="Times New Roman"/>
                <w:szCs w:val="21"/>
                <w:lang w:eastAsia="ko-KR"/>
              </w:rPr>
              <w:t xml:space="preserve"> [and T</w:t>
            </w:r>
            <w:r w:rsidRPr="006A3544">
              <w:rPr>
                <w:rFonts w:eastAsia="Malgun Gothic" w:cs="Times New Roman"/>
                <w:szCs w:val="21"/>
                <w:vertAlign w:val="subscript"/>
                <w:lang w:eastAsia="ko-KR"/>
              </w:rPr>
              <w:t>SI_NB1-EC</w:t>
            </w:r>
            <w:r w:rsidRPr="006A3544">
              <w:rPr>
                <w:rFonts w:eastAsia="Malgun Gothic" w:cs="Times New Roman"/>
                <w:szCs w:val="21"/>
                <w:lang w:eastAsia="ko-KR"/>
              </w:rPr>
              <w:t>]</w:t>
            </w:r>
          </w:p>
          <w:p w14:paraId="22EAE781" w14:textId="77777777" w:rsidR="00814BA9" w:rsidRPr="006A3544" w:rsidRDefault="00814BA9" w:rsidP="00814BA9">
            <w:pPr>
              <w:numPr>
                <w:ilvl w:val="1"/>
                <w:numId w:val="30"/>
              </w:numPr>
              <w:snapToGrid w:val="0"/>
              <w:spacing w:after="120" w:line="276" w:lineRule="auto"/>
              <w:rPr>
                <w:rFonts w:eastAsia="Malgun Gothic" w:cs="Times New Roman"/>
                <w:szCs w:val="21"/>
                <w:lang w:eastAsia="ko-KR"/>
              </w:rPr>
            </w:pPr>
            <w:r w:rsidRPr="006A3544">
              <w:rPr>
                <w:rFonts w:eastAsia="Malgun Gothic" w:cs="Times New Roman"/>
                <w:szCs w:val="21"/>
                <w:lang w:eastAsia="ko-KR"/>
              </w:rPr>
              <w:t>Consider update, and the details are FFS:</w:t>
            </w:r>
          </w:p>
          <w:p w14:paraId="28BFF211" w14:textId="77777777" w:rsidR="00814BA9" w:rsidRPr="006A3544" w:rsidRDefault="00814BA9" w:rsidP="00814BA9">
            <w:pPr>
              <w:numPr>
                <w:ilvl w:val="2"/>
                <w:numId w:val="30"/>
              </w:numPr>
              <w:snapToGrid w:val="0"/>
              <w:spacing w:after="120" w:line="276" w:lineRule="auto"/>
              <w:ind w:left="1440"/>
              <w:rPr>
                <w:rFonts w:eastAsia="Malgun Gothic" w:cs="Times New Roman"/>
                <w:szCs w:val="21"/>
                <w:lang w:eastAsia="ko-KR"/>
              </w:rPr>
            </w:pPr>
            <w:r w:rsidRPr="006A3544">
              <w:rPr>
                <w:rFonts w:eastAsia="Malgun Gothic" w:cs="Times New Roman"/>
                <w:szCs w:val="21"/>
                <w:lang w:eastAsia="ko-KR"/>
              </w:rPr>
              <w:t>T</w:t>
            </w:r>
            <w:r w:rsidRPr="006A3544">
              <w:rPr>
                <w:rFonts w:eastAsia="Malgun Gothic" w:cs="Times New Roman"/>
                <w:szCs w:val="21"/>
                <w:vertAlign w:val="subscript"/>
                <w:lang w:eastAsia="ko-KR"/>
              </w:rPr>
              <w:t>search_NB1-NC,i</w:t>
            </w:r>
            <w:r w:rsidRPr="006A3544">
              <w:rPr>
                <w:rFonts w:eastAsia="Malgun Gothic" w:cs="Times New Roman"/>
                <w:szCs w:val="21"/>
                <w:lang w:eastAsia="ko-KR"/>
              </w:rPr>
              <w:t xml:space="preserve"> [and T</w:t>
            </w:r>
            <w:r w:rsidRPr="006A3544">
              <w:rPr>
                <w:rFonts w:eastAsia="Malgun Gothic" w:cs="Times New Roman"/>
                <w:szCs w:val="21"/>
                <w:vertAlign w:val="subscript"/>
                <w:lang w:eastAsia="ko-KR"/>
              </w:rPr>
              <w:t>search_NB1-EC,i</w:t>
            </w:r>
            <w:r w:rsidRPr="006A3544">
              <w:rPr>
                <w:rFonts w:eastAsia="Malgun Gothic" w:cs="Times New Roman"/>
                <w:szCs w:val="21"/>
                <w:lang w:eastAsia="ko-KR"/>
              </w:rPr>
              <w:t xml:space="preserve">] </w:t>
            </w:r>
            <w:r w:rsidRPr="006A3544">
              <w:rPr>
                <w:rFonts w:eastAsia="Malgun Gothic" w:cs="Times New Roman"/>
                <w:szCs w:val="21"/>
                <w:u w:val="single"/>
                <w:lang w:eastAsia="ko-KR"/>
              </w:rPr>
              <w:t>for unknown cell</w:t>
            </w:r>
          </w:p>
          <w:p w14:paraId="33EABE22" w14:textId="77777777" w:rsidR="00814BA9" w:rsidRDefault="00814BA9" w:rsidP="00814BA9">
            <w:pPr>
              <w:rPr>
                <w:lang w:eastAsia="ko-KR"/>
              </w:rPr>
            </w:pPr>
          </w:p>
          <w:p w14:paraId="3AEA5C93" w14:textId="77777777" w:rsidR="00814BA9" w:rsidRPr="006A3544" w:rsidRDefault="00814BA9" w:rsidP="00814BA9">
            <w:pPr>
              <w:spacing w:after="180" w:line="276" w:lineRule="auto"/>
              <w:outlineLvl w:val="1"/>
              <w:rPr>
                <w:rFonts w:eastAsia="SimSun" w:cs="Times New Roman"/>
                <w:b/>
                <w:szCs w:val="20"/>
                <w:u w:val="single"/>
                <w:lang w:eastAsia="ko-KR"/>
              </w:rPr>
            </w:pPr>
            <w:r w:rsidRPr="006A3544">
              <w:rPr>
                <w:rFonts w:eastAsia="SimSun" w:cs="Times New Roman"/>
                <w:b/>
                <w:szCs w:val="20"/>
                <w:u w:val="single"/>
                <w:lang w:eastAsia="ko-KR"/>
              </w:rPr>
              <w:t xml:space="preserve">Issue 5: </w:t>
            </w:r>
            <w:r w:rsidRPr="006A3544">
              <w:rPr>
                <w:rFonts w:eastAsia="SimSun" w:cs="Times New Roman"/>
                <w:b/>
                <w:bCs/>
                <w:szCs w:val="20"/>
                <w:u w:val="single"/>
                <w:lang w:val="en-US" w:eastAsia="zh-CN"/>
              </w:rPr>
              <w:t>RLM (7.23A)</w:t>
            </w:r>
          </w:p>
          <w:p w14:paraId="4BEE576E" w14:textId="77777777" w:rsidR="00814BA9" w:rsidRPr="006A3544" w:rsidRDefault="00814BA9" w:rsidP="00814BA9">
            <w:pPr>
              <w:snapToGrid w:val="0"/>
              <w:spacing w:after="120"/>
              <w:rPr>
                <w:rFonts w:eastAsia="SimSun" w:cs="Times New Roman"/>
                <w:szCs w:val="21"/>
                <w:highlight w:val="green"/>
                <w:lang w:eastAsia="zh-CN"/>
              </w:rPr>
            </w:pPr>
            <w:r w:rsidRPr="006A3544">
              <w:rPr>
                <w:rFonts w:eastAsia="SimSun" w:cs="Times New Roman"/>
                <w:szCs w:val="21"/>
                <w:highlight w:val="green"/>
                <w:lang w:eastAsia="zh-CN"/>
              </w:rPr>
              <w:t>Agreement (online):</w:t>
            </w:r>
          </w:p>
          <w:p w14:paraId="119D039C" w14:textId="77777777" w:rsidR="00814BA9" w:rsidRPr="006A3544" w:rsidRDefault="00814BA9" w:rsidP="00814BA9">
            <w:pPr>
              <w:snapToGrid w:val="0"/>
              <w:spacing w:after="120"/>
              <w:rPr>
                <w:rFonts w:eastAsia="SimSun" w:cs="Times New Roman"/>
                <w:szCs w:val="21"/>
                <w:lang w:eastAsia="ja-JP"/>
              </w:rPr>
            </w:pPr>
            <w:r w:rsidRPr="006A3544">
              <w:rPr>
                <w:rFonts w:eastAsia="SimSun" w:cs="Times New Roman"/>
                <w:szCs w:val="21"/>
                <w:lang w:eastAsia="ja-JP"/>
              </w:rPr>
              <w:t>Further discuss the following aspects for RLM for TDD NB-IoT in NTN:</w:t>
            </w:r>
          </w:p>
          <w:p w14:paraId="4FA039AF" w14:textId="77777777" w:rsidR="00814BA9" w:rsidRPr="006A3544" w:rsidRDefault="00814BA9" w:rsidP="00814BA9">
            <w:pPr>
              <w:numPr>
                <w:ilvl w:val="0"/>
                <w:numId w:val="29"/>
              </w:numPr>
              <w:snapToGrid w:val="0"/>
              <w:spacing w:after="120"/>
              <w:ind w:left="720"/>
              <w:rPr>
                <w:rFonts w:eastAsia="Malgun Gothic" w:cs="Times New Roman"/>
                <w:szCs w:val="21"/>
                <w:lang w:eastAsia="ko-KR"/>
              </w:rPr>
            </w:pPr>
            <w:r w:rsidRPr="006A3544">
              <w:rPr>
                <w:rFonts w:eastAsia="Malgun Gothic" w:cs="Times New Roman"/>
                <w:szCs w:val="21"/>
                <w:lang w:eastAsia="ko-KR"/>
              </w:rPr>
              <w:t xml:space="preserve">FFS update the hypothetical NPDCCH format (including </w:t>
            </w:r>
            <w:proofErr w:type="spellStart"/>
            <w:r w:rsidRPr="006A3544">
              <w:rPr>
                <w:rFonts w:eastAsia="Malgun Gothic" w:cs="Times New Roman"/>
                <w:szCs w:val="21"/>
                <w:lang w:eastAsia="ko-KR"/>
              </w:rPr>
              <w:t>Rmax</w:t>
            </w:r>
            <w:proofErr w:type="spellEnd"/>
            <w:r w:rsidRPr="006A3544">
              <w:rPr>
                <w:rFonts w:eastAsia="Malgun Gothic" w:cs="Times New Roman"/>
                <w:szCs w:val="21"/>
                <w:lang w:eastAsia="ko-KR"/>
              </w:rPr>
              <w:t>) specified in Table 7.23A.2-1 upon RAN1 design in future meetings.</w:t>
            </w:r>
          </w:p>
          <w:p w14:paraId="50D1C963" w14:textId="77777777" w:rsidR="00814BA9" w:rsidRPr="006A3544" w:rsidRDefault="00814BA9" w:rsidP="00814BA9">
            <w:pPr>
              <w:numPr>
                <w:ilvl w:val="0"/>
                <w:numId w:val="29"/>
              </w:numPr>
              <w:snapToGrid w:val="0"/>
              <w:spacing w:after="120"/>
              <w:ind w:left="720"/>
              <w:rPr>
                <w:rFonts w:eastAsia="Malgun Gothic" w:cs="Times New Roman"/>
                <w:szCs w:val="21"/>
                <w:lang w:eastAsia="ko-KR"/>
              </w:rPr>
            </w:pPr>
            <w:r w:rsidRPr="006A3544">
              <w:rPr>
                <w:rFonts w:eastAsia="Malgun Gothic" w:cs="Times New Roman"/>
                <w:szCs w:val="21"/>
                <w:lang w:eastAsia="ko-KR"/>
              </w:rPr>
              <w:t>Evaluation period when DRX is not in use:</w:t>
            </w:r>
          </w:p>
          <w:p w14:paraId="1B27BA80" w14:textId="77777777" w:rsidR="00814BA9" w:rsidRPr="006A3544" w:rsidRDefault="00814BA9" w:rsidP="00814BA9">
            <w:pPr>
              <w:numPr>
                <w:ilvl w:val="1"/>
                <w:numId w:val="30"/>
              </w:numPr>
              <w:snapToGrid w:val="0"/>
              <w:spacing w:after="120"/>
              <w:rPr>
                <w:rFonts w:eastAsia="Malgun Gothic" w:cs="Times New Roman"/>
                <w:szCs w:val="21"/>
                <w:lang w:eastAsia="ko-KR"/>
              </w:rPr>
            </w:pPr>
            <w:r w:rsidRPr="006A3544">
              <w:rPr>
                <w:rFonts w:eastAsia="Malgun Gothic" w:cs="Times New Roman"/>
                <w:szCs w:val="21"/>
                <w:lang w:eastAsia="ko-KR"/>
              </w:rPr>
              <w:t>Option 1: Reuse the existing requirement defined in</w:t>
            </w:r>
            <w:r w:rsidRPr="006A3544">
              <w:rPr>
                <w:rFonts w:eastAsia="SimSun" w:cs="Times New Roman"/>
                <w:szCs w:val="21"/>
              </w:rPr>
              <w:t xml:space="preserve"> </w:t>
            </w:r>
            <w:r w:rsidRPr="006A3544">
              <w:rPr>
                <w:rFonts w:eastAsia="Malgun Gothic" w:cs="Times New Roman"/>
                <w:szCs w:val="21"/>
                <w:lang w:eastAsia="ko-KR"/>
              </w:rPr>
              <w:t>7.23A.2.1, unless RAN1 changes cause impact to this requirement</w:t>
            </w:r>
          </w:p>
          <w:p w14:paraId="5E2A8AAD" w14:textId="77777777" w:rsidR="00814BA9" w:rsidRPr="006A3544" w:rsidRDefault="00814BA9" w:rsidP="00814BA9">
            <w:pPr>
              <w:numPr>
                <w:ilvl w:val="1"/>
                <w:numId w:val="30"/>
              </w:numPr>
              <w:snapToGrid w:val="0"/>
              <w:spacing w:after="120"/>
              <w:rPr>
                <w:rFonts w:eastAsia="Malgun Gothic" w:cs="Times New Roman"/>
                <w:szCs w:val="21"/>
                <w:lang w:eastAsia="ko-KR"/>
              </w:rPr>
            </w:pPr>
            <w:r w:rsidRPr="006A3544">
              <w:rPr>
                <w:rFonts w:eastAsia="Malgun Gothic" w:cs="Times New Roman"/>
                <w:szCs w:val="21"/>
                <w:lang w:eastAsia="ko-KR"/>
              </w:rPr>
              <w:t>Option 2: The evaluation period defined in 7.23A.2.1 is scaled</w:t>
            </w:r>
          </w:p>
          <w:p w14:paraId="2117084F" w14:textId="77777777" w:rsidR="00814BA9" w:rsidRPr="006A3544" w:rsidRDefault="00814BA9" w:rsidP="00814BA9">
            <w:pPr>
              <w:numPr>
                <w:ilvl w:val="2"/>
                <w:numId w:val="30"/>
              </w:numPr>
              <w:snapToGrid w:val="0"/>
              <w:spacing w:after="120"/>
              <w:rPr>
                <w:rFonts w:eastAsia="Malgun Gothic" w:cs="Times New Roman"/>
                <w:szCs w:val="21"/>
                <w:lang w:eastAsia="ko-KR"/>
              </w:rPr>
            </w:pPr>
            <w:r w:rsidRPr="006A3544">
              <w:rPr>
                <w:rFonts w:eastAsia="Malgun Gothic" w:cs="Times New Roman"/>
                <w:szCs w:val="21"/>
                <w:lang w:eastAsia="ko-KR"/>
              </w:rPr>
              <w:t>Option 2a: scaled by N=9</w:t>
            </w:r>
          </w:p>
          <w:p w14:paraId="0BA6830A" w14:textId="77777777" w:rsidR="00814BA9" w:rsidRPr="006A3544" w:rsidRDefault="00814BA9" w:rsidP="00814BA9">
            <w:pPr>
              <w:numPr>
                <w:ilvl w:val="2"/>
                <w:numId w:val="30"/>
              </w:numPr>
              <w:snapToGrid w:val="0"/>
              <w:spacing w:after="120"/>
              <w:rPr>
                <w:rFonts w:eastAsia="Malgun Gothic" w:cs="Times New Roman"/>
                <w:szCs w:val="21"/>
                <w:lang w:eastAsia="ko-KR"/>
              </w:rPr>
            </w:pPr>
            <w:r w:rsidRPr="006A3544">
              <w:rPr>
                <w:rFonts w:eastAsia="Malgun Gothic" w:cs="Times New Roman"/>
                <w:szCs w:val="21"/>
                <w:lang w:eastAsia="ko-KR"/>
              </w:rPr>
              <w:lastRenderedPageBreak/>
              <w:t>Option 2b: scaled by FFS</w:t>
            </w:r>
          </w:p>
          <w:p w14:paraId="0DFDBCED" w14:textId="77777777" w:rsidR="00814BA9" w:rsidRPr="006A3544" w:rsidRDefault="00814BA9" w:rsidP="00814BA9">
            <w:pPr>
              <w:numPr>
                <w:ilvl w:val="2"/>
                <w:numId w:val="30"/>
              </w:numPr>
              <w:snapToGrid w:val="0"/>
              <w:spacing w:after="120"/>
              <w:rPr>
                <w:rFonts w:eastAsia="Malgun Gothic" w:cs="Times New Roman"/>
                <w:szCs w:val="21"/>
                <w:lang w:eastAsia="ko-KR"/>
              </w:rPr>
            </w:pPr>
            <w:r w:rsidRPr="006A3544">
              <w:rPr>
                <w:rFonts w:eastAsia="Malgun Gothic" w:cs="Times New Roman"/>
                <w:szCs w:val="21"/>
                <w:lang w:eastAsia="ko-KR"/>
              </w:rPr>
              <w:t>Option 2c: no scaling, and define requirement based on 8ms DL subframes</w:t>
            </w:r>
          </w:p>
          <w:p w14:paraId="5A457C9B" w14:textId="77777777" w:rsidR="00814BA9" w:rsidRPr="006A3544" w:rsidRDefault="00814BA9" w:rsidP="00814BA9">
            <w:pPr>
              <w:numPr>
                <w:ilvl w:val="0"/>
                <w:numId w:val="29"/>
              </w:numPr>
              <w:snapToGrid w:val="0"/>
              <w:spacing w:after="120"/>
              <w:ind w:left="720"/>
              <w:rPr>
                <w:rFonts w:eastAsia="Malgun Gothic" w:cs="Times New Roman"/>
                <w:szCs w:val="21"/>
                <w:lang w:eastAsia="ko-KR"/>
              </w:rPr>
            </w:pPr>
            <w:r w:rsidRPr="006A3544">
              <w:rPr>
                <w:rFonts w:eastAsia="Malgun Gothic" w:cs="Times New Roman"/>
                <w:szCs w:val="21"/>
                <w:lang w:eastAsia="ko-KR"/>
              </w:rPr>
              <w:t xml:space="preserve">Evaluation period when DRX is in use: </w:t>
            </w:r>
          </w:p>
          <w:p w14:paraId="36CA1C1A" w14:textId="77777777" w:rsidR="00814BA9" w:rsidRPr="006A3544" w:rsidRDefault="00814BA9" w:rsidP="00814BA9">
            <w:pPr>
              <w:numPr>
                <w:ilvl w:val="1"/>
                <w:numId w:val="30"/>
              </w:numPr>
              <w:snapToGrid w:val="0"/>
              <w:spacing w:after="120"/>
              <w:rPr>
                <w:rFonts w:eastAsia="Malgun Gothic" w:cs="Times New Roman"/>
                <w:szCs w:val="21"/>
                <w:lang w:eastAsia="ko-KR"/>
              </w:rPr>
            </w:pPr>
            <w:r w:rsidRPr="006A3544">
              <w:rPr>
                <w:rFonts w:eastAsia="Malgun Gothic" w:cs="Times New Roman"/>
                <w:szCs w:val="21"/>
                <w:lang w:eastAsia="ko-KR"/>
              </w:rPr>
              <w:t>FFS whether the evaluation period defined in 7.23A.2.1 needs to be scaled.</w:t>
            </w:r>
          </w:p>
          <w:p w14:paraId="547C92F6" w14:textId="77777777" w:rsidR="00814BA9" w:rsidRPr="00814BA9" w:rsidRDefault="00814BA9" w:rsidP="00814BA9">
            <w:pPr>
              <w:rPr>
                <w:lang w:eastAsia="ko-KR"/>
              </w:rPr>
            </w:pPr>
          </w:p>
        </w:tc>
      </w:tr>
    </w:tbl>
    <w:p w14:paraId="58386CFE" w14:textId="77777777" w:rsidR="00814BA9" w:rsidRPr="00814BA9" w:rsidRDefault="00814BA9" w:rsidP="00814BA9">
      <w:pPr>
        <w:rPr>
          <w:lang w:val="en-US" w:eastAsia="ko-KR"/>
        </w:rPr>
      </w:pPr>
    </w:p>
    <w:p w14:paraId="332383E9" w14:textId="7AC408E1" w:rsidR="006A3544" w:rsidRDefault="00814BA9" w:rsidP="006A3544">
      <w:pPr>
        <w:spacing w:after="180" w:line="276" w:lineRule="auto"/>
        <w:rPr>
          <w:rFonts w:eastAsia="SimSun" w:cs="Times New Roman"/>
          <w:szCs w:val="20"/>
          <w:lang w:eastAsia="zh-CN"/>
        </w:rPr>
      </w:pPr>
      <w:r>
        <w:rPr>
          <w:rFonts w:eastAsia="SimSun" w:cs="Times New Roman"/>
          <w:szCs w:val="20"/>
          <w:lang w:eastAsia="zh-CN"/>
        </w:rPr>
        <w:t xml:space="preserve">Based on the discussions provided above for the connected mode measurements, we maintain as a principle that the time to complete the measurements do not require scaling, although this might compromise the UE power saving in certain situations. </w:t>
      </w:r>
      <w:r w:rsidR="00CA3EA1">
        <w:rPr>
          <w:rFonts w:eastAsia="SimSun" w:cs="Times New Roman"/>
          <w:szCs w:val="20"/>
          <w:lang w:eastAsia="zh-CN"/>
        </w:rPr>
        <w:t>So, in consistency with the proposals and analysis made above:</w:t>
      </w:r>
    </w:p>
    <w:p w14:paraId="7D4E7317" w14:textId="5460EE5B" w:rsidR="00CA3EA1" w:rsidRDefault="00CA3EA1" w:rsidP="00CA3EA1">
      <w:pPr>
        <w:pStyle w:val="RAN4proposal"/>
        <w:rPr>
          <w:lang w:eastAsia="zh-CN"/>
        </w:rPr>
      </w:pPr>
      <w:bookmarkStart w:id="21" w:name="_Toc194073733"/>
      <w:r>
        <w:rPr>
          <w:lang w:eastAsia="zh-CN"/>
        </w:rPr>
        <w:t xml:space="preserve">Do not update </w:t>
      </w:r>
      <w:r w:rsidRPr="006A3544">
        <w:rPr>
          <w:rFonts w:eastAsia="Malgun Gothic" w:cs="Times New Roman"/>
          <w:szCs w:val="21"/>
          <w:lang w:eastAsia="ko-KR"/>
        </w:rPr>
        <w:t>T</w:t>
      </w:r>
      <w:r w:rsidRPr="006A3544">
        <w:rPr>
          <w:rFonts w:eastAsia="Malgun Gothic" w:cs="Times New Roman"/>
          <w:szCs w:val="21"/>
          <w:vertAlign w:val="subscript"/>
          <w:lang w:eastAsia="ko-KR"/>
        </w:rPr>
        <w:t>search_NB1-NC,</w:t>
      </w:r>
      <w:r>
        <w:rPr>
          <w:rFonts w:eastAsia="Malgun Gothic" w:cs="Times New Roman"/>
          <w:szCs w:val="21"/>
          <w:vertAlign w:val="subscript"/>
          <w:lang w:eastAsia="ko-KR"/>
        </w:rPr>
        <w:t xml:space="preserve">I  </w:t>
      </w:r>
      <w:r>
        <w:rPr>
          <w:lang w:eastAsia="zh-CN"/>
        </w:rPr>
        <w:t>for RRC re-establishment</w:t>
      </w:r>
      <w:bookmarkEnd w:id="21"/>
    </w:p>
    <w:p w14:paraId="4715100D" w14:textId="193BDB9E" w:rsidR="00CA3EA1" w:rsidRDefault="00CA3EA1" w:rsidP="00CA3EA1">
      <w:pPr>
        <w:pStyle w:val="RAN4proposal"/>
        <w:rPr>
          <w:lang w:eastAsia="zh-CN"/>
        </w:rPr>
      </w:pPr>
      <w:bookmarkStart w:id="22" w:name="_Toc194073734"/>
      <w:r>
        <w:rPr>
          <w:lang w:eastAsia="zh-CN"/>
        </w:rPr>
        <w:t>Dot not update RLM requirements in clause 7.23A.2.1</w:t>
      </w:r>
      <w:bookmarkEnd w:id="22"/>
    </w:p>
    <w:p w14:paraId="46A8EFA3" w14:textId="77777777" w:rsidR="00CA3EA1" w:rsidRPr="00CA3EA1" w:rsidRDefault="00CA3EA1" w:rsidP="00CA3EA1">
      <w:pPr>
        <w:rPr>
          <w:lang w:eastAsia="zh-CN"/>
        </w:rPr>
      </w:pPr>
    </w:p>
    <w:p w14:paraId="03C93438" w14:textId="319E8155" w:rsidR="00FD6380" w:rsidRDefault="00FD6380" w:rsidP="00FD6380">
      <w:pPr>
        <w:pStyle w:val="RAN4H2"/>
        <w:rPr>
          <w:rFonts w:eastAsia="SimSun"/>
          <w:lang w:eastAsia="zh-CN"/>
        </w:rPr>
      </w:pPr>
      <w:r>
        <w:rPr>
          <w:rFonts w:eastAsia="SimSun"/>
          <w:lang w:eastAsia="zh-CN"/>
        </w:rPr>
        <w:t>DL-UL Switch</w:t>
      </w:r>
    </w:p>
    <w:p w14:paraId="762970E3" w14:textId="526B5366" w:rsidR="00FD6380" w:rsidRDefault="00FD6380" w:rsidP="00FD6380">
      <w:pPr>
        <w:rPr>
          <w:lang w:eastAsia="zh-CN"/>
        </w:rPr>
      </w:pPr>
      <w:r>
        <w:rPr>
          <w:lang w:eastAsia="zh-CN"/>
        </w:rPr>
        <w:t xml:space="preserve">Finally, there is one additional issue discussed in the previous WF that needs addressing. It is related to the DL-UL switch times in the RRC connection redirection. </w:t>
      </w:r>
    </w:p>
    <w:tbl>
      <w:tblPr>
        <w:tblStyle w:val="TableGrid"/>
        <w:tblW w:w="0" w:type="auto"/>
        <w:tblLook w:val="04A0" w:firstRow="1" w:lastRow="0" w:firstColumn="1" w:lastColumn="0" w:noHBand="0" w:noVBand="1"/>
      </w:tblPr>
      <w:tblGrid>
        <w:gridCol w:w="9617"/>
      </w:tblGrid>
      <w:tr w:rsidR="00FD6380" w14:paraId="07B15F37" w14:textId="77777777" w:rsidTr="00FD6380">
        <w:tc>
          <w:tcPr>
            <w:tcW w:w="9617" w:type="dxa"/>
          </w:tcPr>
          <w:p w14:paraId="7C9C134C" w14:textId="77777777" w:rsidR="00FD6380" w:rsidRPr="006A3544" w:rsidRDefault="00FD6380" w:rsidP="00FD6380">
            <w:pPr>
              <w:spacing w:after="180" w:line="276" w:lineRule="auto"/>
              <w:outlineLvl w:val="1"/>
              <w:rPr>
                <w:rFonts w:eastAsia="SimSun" w:cs="Times New Roman"/>
                <w:b/>
                <w:szCs w:val="20"/>
                <w:u w:val="single"/>
                <w:lang w:eastAsia="ko-KR"/>
              </w:rPr>
            </w:pPr>
            <w:r w:rsidRPr="006A3544">
              <w:rPr>
                <w:rFonts w:eastAsia="SimSun" w:cs="Times New Roman"/>
                <w:b/>
                <w:szCs w:val="20"/>
                <w:u w:val="single"/>
                <w:lang w:eastAsia="ko-KR"/>
              </w:rPr>
              <w:t xml:space="preserve">Issue 4: </w:t>
            </w:r>
            <w:r w:rsidRPr="006A3544">
              <w:rPr>
                <w:rFonts w:eastAsia="SimSun" w:cs="Times New Roman"/>
                <w:b/>
                <w:bCs/>
                <w:szCs w:val="20"/>
                <w:u w:val="single"/>
                <w:lang w:eastAsia="zh-CN"/>
              </w:rPr>
              <w:t>RRC Connection redirection to Non-Anchor Carrier (6.9A)</w:t>
            </w:r>
          </w:p>
          <w:p w14:paraId="0A9D420C" w14:textId="77777777" w:rsidR="00FD6380" w:rsidRPr="006A3544" w:rsidRDefault="00FD6380" w:rsidP="00FD6380">
            <w:pPr>
              <w:snapToGrid w:val="0"/>
              <w:spacing w:after="120" w:line="276" w:lineRule="auto"/>
              <w:rPr>
                <w:rFonts w:eastAsia="SimSun" w:cs="Times New Roman"/>
                <w:szCs w:val="21"/>
                <w:highlight w:val="green"/>
                <w:lang w:eastAsia="zh-CN"/>
              </w:rPr>
            </w:pPr>
            <w:r w:rsidRPr="006A3544">
              <w:rPr>
                <w:rFonts w:eastAsia="SimSun" w:cs="Times New Roman"/>
                <w:szCs w:val="21"/>
                <w:highlight w:val="green"/>
                <w:lang w:eastAsia="zh-CN"/>
              </w:rPr>
              <w:t>Agreement (online):</w:t>
            </w:r>
          </w:p>
          <w:p w14:paraId="4DFB8E84" w14:textId="77777777" w:rsidR="00FD6380" w:rsidRPr="006A3544" w:rsidRDefault="00FD6380" w:rsidP="00FD6380">
            <w:pPr>
              <w:snapToGrid w:val="0"/>
              <w:spacing w:after="120" w:line="276" w:lineRule="auto"/>
              <w:rPr>
                <w:rFonts w:eastAsia="SimSun" w:cs="Times New Roman"/>
                <w:szCs w:val="21"/>
                <w:lang w:eastAsia="ja-JP"/>
              </w:rPr>
            </w:pPr>
            <w:r w:rsidRPr="006A3544">
              <w:rPr>
                <w:rFonts w:eastAsia="SimSun" w:cs="Times New Roman"/>
                <w:szCs w:val="21"/>
                <w:lang w:eastAsia="ja-JP"/>
              </w:rPr>
              <w:t>For the latency requirement (</w:t>
            </w:r>
            <w:proofErr w:type="spellStart"/>
            <w:r w:rsidRPr="006A3544">
              <w:rPr>
                <w:rFonts w:eastAsia="Malgun Gothic" w:cs="Times New Roman"/>
                <w:szCs w:val="21"/>
                <w:lang w:eastAsia="ko-KR"/>
              </w:rPr>
              <w:t>T</w:t>
            </w:r>
            <w:r w:rsidRPr="006A3544">
              <w:rPr>
                <w:rFonts w:eastAsia="Malgun Gothic" w:cs="Times New Roman"/>
                <w:szCs w:val="21"/>
                <w:vertAlign w:val="subscript"/>
                <w:lang w:eastAsia="ko-KR"/>
              </w:rPr>
              <w:t>RRC_procedure_delay</w:t>
            </w:r>
            <w:proofErr w:type="spellEnd"/>
            <w:r w:rsidRPr="006A3544">
              <w:rPr>
                <w:rFonts w:eastAsia="Malgun Gothic" w:cs="Times New Roman"/>
                <w:szCs w:val="21"/>
                <w:lang w:eastAsia="ko-KR"/>
              </w:rPr>
              <w:t xml:space="preserve"> + </w:t>
            </w:r>
            <w:proofErr w:type="spellStart"/>
            <w:r w:rsidRPr="006A3544">
              <w:rPr>
                <w:rFonts w:eastAsia="Malgun Gothic" w:cs="Times New Roman"/>
                <w:szCs w:val="21"/>
                <w:lang w:eastAsia="ko-KR"/>
              </w:rPr>
              <w:t>T</w:t>
            </w:r>
            <w:r w:rsidRPr="006A3544">
              <w:rPr>
                <w:rFonts w:eastAsia="Malgun Gothic" w:cs="Times New Roman"/>
                <w:szCs w:val="21"/>
                <w:vertAlign w:val="subscript"/>
                <w:lang w:eastAsia="ko-KR"/>
              </w:rPr>
              <w:t>period_DL_bitmap</w:t>
            </w:r>
            <w:proofErr w:type="spellEnd"/>
            <w:r w:rsidRPr="006A3544">
              <w:rPr>
                <w:rFonts w:eastAsia="Malgun Gothic" w:cs="Times New Roman"/>
                <w:szCs w:val="21"/>
                <w:lang w:eastAsia="ko-KR"/>
              </w:rPr>
              <w:t xml:space="preserve"> + </w:t>
            </w:r>
            <w:proofErr w:type="spellStart"/>
            <w:r w:rsidRPr="006A3544">
              <w:rPr>
                <w:rFonts w:eastAsia="Malgun Gothic" w:cs="Times New Roman"/>
                <w:szCs w:val="21"/>
                <w:lang w:eastAsia="ko-KR"/>
              </w:rPr>
              <w:t>T</w:t>
            </w:r>
            <w:r w:rsidRPr="006A3544">
              <w:rPr>
                <w:rFonts w:eastAsia="Malgun Gothic" w:cs="Times New Roman"/>
                <w:szCs w:val="21"/>
                <w:vertAlign w:val="subscript"/>
                <w:lang w:eastAsia="ko-KR"/>
              </w:rPr>
              <w:t>UL_grant</w:t>
            </w:r>
            <w:proofErr w:type="spellEnd"/>
            <w:r w:rsidRPr="006A3544">
              <w:rPr>
                <w:rFonts w:eastAsia="Malgun Gothic" w:cs="Times New Roman"/>
                <w:szCs w:val="21"/>
                <w:lang w:eastAsia="ko-KR"/>
              </w:rPr>
              <w:t xml:space="preserve"> + T</w:t>
            </w:r>
            <w:r w:rsidRPr="006A3544">
              <w:rPr>
                <w:rFonts w:eastAsia="Malgun Gothic" w:cs="Times New Roman"/>
                <w:szCs w:val="21"/>
                <w:vertAlign w:val="subscript"/>
                <w:lang w:eastAsia="ko-KR"/>
              </w:rPr>
              <w:t>DL-UL switch</w:t>
            </w:r>
            <w:r w:rsidRPr="006A3544">
              <w:rPr>
                <w:rFonts w:eastAsia="Malgun Gothic" w:cs="Times New Roman"/>
                <w:szCs w:val="21"/>
                <w:lang w:eastAsia="ko-KR"/>
              </w:rPr>
              <w:t xml:space="preserve"> + T</w:t>
            </w:r>
            <w:r w:rsidRPr="006A3544">
              <w:rPr>
                <w:rFonts w:eastAsia="Malgun Gothic" w:cs="Times New Roman"/>
                <w:szCs w:val="21"/>
                <w:vertAlign w:val="subscript"/>
                <w:lang w:eastAsia="ko-KR"/>
              </w:rPr>
              <w:t>NPUSCH</w:t>
            </w:r>
            <w:r w:rsidRPr="006A3544">
              <w:rPr>
                <w:rFonts w:eastAsia="SimSun" w:cs="Times New Roman"/>
                <w:szCs w:val="21"/>
                <w:lang w:eastAsia="ja-JP"/>
              </w:rPr>
              <w:t xml:space="preserve">) of RRC Connection redirection to Non-Anchor Carrier for TDD NB-IoT in NTN, </w:t>
            </w:r>
          </w:p>
          <w:p w14:paraId="469734B8" w14:textId="77777777" w:rsidR="00FD6380" w:rsidRPr="006A3544" w:rsidRDefault="00FD6380" w:rsidP="00FD6380">
            <w:pPr>
              <w:numPr>
                <w:ilvl w:val="0"/>
                <w:numId w:val="29"/>
              </w:numPr>
              <w:snapToGrid w:val="0"/>
              <w:spacing w:after="120" w:line="276" w:lineRule="auto"/>
              <w:ind w:left="720"/>
              <w:rPr>
                <w:rFonts w:eastAsia="Malgun Gothic" w:cs="Times New Roman"/>
                <w:szCs w:val="21"/>
                <w:lang w:eastAsia="ko-KR"/>
              </w:rPr>
            </w:pPr>
            <w:r w:rsidRPr="006A3544">
              <w:rPr>
                <w:rFonts w:eastAsia="Malgun Gothic" w:cs="Times New Roman"/>
                <w:szCs w:val="21"/>
                <w:lang w:eastAsia="ko-KR"/>
              </w:rPr>
              <w:t xml:space="preserve">No update to </w:t>
            </w:r>
            <w:proofErr w:type="spellStart"/>
            <w:r w:rsidRPr="006A3544">
              <w:rPr>
                <w:rFonts w:eastAsia="Malgun Gothic" w:cs="Times New Roman"/>
                <w:szCs w:val="21"/>
                <w:lang w:eastAsia="ko-KR"/>
              </w:rPr>
              <w:t>T</w:t>
            </w:r>
            <w:r w:rsidRPr="006A3544">
              <w:rPr>
                <w:rFonts w:eastAsia="Malgun Gothic" w:cs="Times New Roman"/>
                <w:szCs w:val="21"/>
                <w:vertAlign w:val="subscript"/>
                <w:lang w:eastAsia="ko-KR"/>
              </w:rPr>
              <w:t>RRC_procedure_delay</w:t>
            </w:r>
            <w:proofErr w:type="spellEnd"/>
            <w:r w:rsidRPr="006A3544">
              <w:rPr>
                <w:rFonts w:eastAsia="Malgun Gothic" w:cs="Times New Roman"/>
                <w:szCs w:val="21"/>
                <w:lang w:eastAsia="ko-KR"/>
              </w:rPr>
              <w:t xml:space="preserve">, </w:t>
            </w:r>
            <w:proofErr w:type="spellStart"/>
            <w:r w:rsidRPr="006A3544">
              <w:rPr>
                <w:rFonts w:eastAsia="Malgun Gothic" w:cs="Times New Roman"/>
                <w:szCs w:val="21"/>
                <w:lang w:eastAsia="ko-KR"/>
              </w:rPr>
              <w:t>T</w:t>
            </w:r>
            <w:r w:rsidRPr="006A3544">
              <w:rPr>
                <w:rFonts w:eastAsia="Malgun Gothic" w:cs="Times New Roman"/>
                <w:szCs w:val="21"/>
                <w:vertAlign w:val="subscript"/>
                <w:lang w:eastAsia="ko-KR"/>
              </w:rPr>
              <w:t>UL_grant</w:t>
            </w:r>
            <w:proofErr w:type="spellEnd"/>
            <w:r w:rsidRPr="006A3544">
              <w:rPr>
                <w:rFonts w:eastAsia="Malgun Gothic" w:cs="Times New Roman"/>
                <w:szCs w:val="21"/>
                <w:lang w:eastAsia="ko-KR"/>
              </w:rPr>
              <w:t>, and T</w:t>
            </w:r>
            <w:r w:rsidRPr="006A3544">
              <w:rPr>
                <w:rFonts w:eastAsia="Malgun Gothic" w:cs="Times New Roman"/>
                <w:szCs w:val="21"/>
                <w:vertAlign w:val="subscript"/>
                <w:lang w:eastAsia="ko-KR"/>
              </w:rPr>
              <w:t>NPUSCH</w:t>
            </w:r>
          </w:p>
          <w:p w14:paraId="31CE5DB9" w14:textId="77777777" w:rsidR="00FD6380" w:rsidRPr="006A3544" w:rsidRDefault="00FD6380" w:rsidP="00FD6380">
            <w:pPr>
              <w:numPr>
                <w:ilvl w:val="0"/>
                <w:numId w:val="29"/>
              </w:numPr>
              <w:snapToGrid w:val="0"/>
              <w:spacing w:after="120" w:line="276" w:lineRule="auto"/>
              <w:ind w:left="720"/>
              <w:rPr>
                <w:rFonts w:eastAsia="Malgun Gothic" w:cs="Times New Roman"/>
                <w:szCs w:val="21"/>
                <w:lang w:eastAsia="ko-KR"/>
              </w:rPr>
            </w:pPr>
            <w:r w:rsidRPr="006A3544">
              <w:rPr>
                <w:rFonts w:eastAsia="Malgun Gothic" w:cs="Times New Roman"/>
                <w:szCs w:val="21"/>
                <w:lang w:eastAsia="ko-KR"/>
              </w:rPr>
              <w:t>Update the following parameters</w:t>
            </w:r>
          </w:p>
          <w:p w14:paraId="54EE44BE" w14:textId="77777777" w:rsidR="00FD6380" w:rsidRPr="006A3544" w:rsidRDefault="00FD6380" w:rsidP="00FD6380">
            <w:pPr>
              <w:numPr>
                <w:ilvl w:val="1"/>
                <w:numId w:val="30"/>
              </w:numPr>
              <w:snapToGrid w:val="0"/>
              <w:spacing w:after="120" w:line="276" w:lineRule="auto"/>
              <w:rPr>
                <w:rFonts w:eastAsia="Malgun Gothic" w:cs="Times New Roman"/>
                <w:szCs w:val="21"/>
                <w:lang w:eastAsia="ko-KR"/>
              </w:rPr>
            </w:pPr>
            <w:proofErr w:type="spellStart"/>
            <w:r w:rsidRPr="006A3544">
              <w:rPr>
                <w:rFonts w:eastAsia="Malgun Gothic" w:cs="Times New Roman"/>
                <w:szCs w:val="21"/>
                <w:lang w:eastAsia="ko-KR"/>
              </w:rPr>
              <w:t>T</w:t>
            </w:r>
            <w:r w:rsidRPr="006A3544">
              <w:rPr>
                <w:rFonts w:eastAsia="Malgun Gothic" w:cs="Times New Roman"/>
                <w:szCs w:val="21"/>
                <w:vertAlign w:val="subscript"/>
                <w:lang w:eastAsia="ko-KR"/>
              </w:rPr>
              <w:t>period_DL_bitmap</w:t>
            </w:r>
            <w:proofErr w:type="spellEnd"/>
            <w:r w:rsidRPr="006A3544">
              <w:rPr>
                <w:rFonts w:eastAsia="Malgun Gothic" w:cs="Times New Roman"/>
                <w:szCs w:val="21"/>
                <w:lang w:eastAsia="ko-KR"/>
              </w:rPr>
              <w:t>: to be updated based on RAN1 design</w:t>
            </w:r>
          </w:p>
          <w:p w14:paraId="53D01240" w14:textId="77777777" w:rsidR="00FD6380" w:rsidRPr="006A3544" w:rsidRDefault="00FD6380" w:rsidP="00FD6380">
            <w:pPr>
              <w:numPr>
                <w:ilvl w:val="1"/>
                <w:numId w:val="30"/>
              </w:numPr>
              <w:snapToGrid w:val="0"/>
              <w:spacing w:after="120" w:line="276" w:lineRule="auto"/>
              <w:rPr>
                <w:rFonts w:eastAsia="Malgun Gothic" w:cs="Times New Roman"/>
                <w:szCs w:val="21"/>
                <w:lang w:eastAsia="ko-KR"/>
              </w:rPr>
            </w:pPr>
            <w:r w:rsidRPr="006A3544">
              <w:rPr>
                <w:rFonts w:eastAsia="Malgun Gothic" w:cs="Times New Roman"/>
                <w:szCs w:val="21"/>
                <w:lang w:eastAsia="ko-KR"/>
              </w:rPr>
              <w:t>T</w:t>
            </w:r>
            <w:r w:rsidRPr="006A3544">
              <w:rPr>
                <w:rFonts w:eastAsia="Malgun Gothic" w:cs="Times New Roman"/>
                <w:szCs w:val="21"/>
                <w:vertAlign w:val="subscript"/>
                <w:lang w:eastAsia="ko-KR"/>
              </w:rPr>
              <w:t>DL-UL switch</w:t>
            </w:r>
            <w:r w:rsidRPr="006A3544">
              <w:rPr>
                <w:rFonts w:eastAsia="Malgun Gothic" w:cs="Times New Roman"/>
                <w:szCs w:val="21"/>
                <w:lang w:eastAsia="ko-KR"/>
              </w:rPr>
              <w:t>: to be updated based on RAN1 design</w:t>
            </w:r>
          </w:p>
          <w:p w14:paraId="6840595E" w14:textId="77777777" w:rsidR="00FD6380" w:rsidRDefault="00FD6380" w:rsidP="00FD6380">
            <w:pPr>
              <w:rPr>
                <w:lang w:eastAsia="zh-CN"/>
              </w:rPr>
            </w:pPr>
          </w:p>
        </w:tc>
      </w:tr>
    </w:tbl>
    <w:p w14:paraId="01F2FCE0" w14:textId="77777777" w:rsidR="00FD6380" w:rsidRPr="00FD6380" w:rsidRDefault="00FD6380" w:rsidP="00FD6380">
      <w:pPr>
        <w:rPr>
          <w:lang w:eastAsia="zh-CN"/>
        </w:rPr>
      </w:pPr>
    </w:p>
    <w:p w14:paraId="00B022F2" w14:textId="77777777" w:rsidR="00FD6380" w:rsidRDefault="00FD6380" w:rsidP="00FD6380">
      <w:r>
        <w:t xml:space="preserve">The requirements for RRC Connection Redirection to Non-Anchor Carrier establish the maximum delay in time for the UE to complete the transition (RRC Redirection) to the Non-Anchor Carrier upon receiving the reconfiguration indication through the IE </w:t>
      </w:r>
      <w:r w:rsidRPr="00B33226">
        <w:t>“</w:t>
      </w:r>
      <w:proofErr w:type="spellStart"/>
      <w:r w:rsidRPr="00B33226">
        <w:rPr>
          <w:i/>
        </w:rPr>
        <w:t>CarrierConfigDedicated</w:t>
      </w:r>
      <w:proofErr w:type="spellEnd"/>
      <w:r w:rsidRPr="00B33226">
        <w:rPr>
          <w:i/>
        </w:rPr>
        <w:t>-NB</w:t>
      </w:r>
      <w:r w:rsidRPr="00B33226">
        <w:t>”</w:t>
      </w:r>
      <w:r>
        <w:t>.  This delay depends on several components, as described below:</w:t>
      </w:r>
    </w:p>
    <w:tbl>
      <w:tblPr>
        <w:tblStyle w:val="TableGrid"/>
        <w:tblW w:w="0" w:type="auto"/>
        <w:tblLook w:val="04A0" w:firstRow="1" w:lastRow="0" w:firstColumn="1" w:lastColumn="0" w:noHBand="0" w:noVBand="1"/>
      </w:tblPr>
      <w:tblGrid>
        <w:gridCol w:w="9617"/>
      </w:tblGrid>
      <w:tr w:rsidR="00FD6380" w14:paraId="580D9B92" w14:textId="77777777">
        <w:tc>
          <w:tcPr>
            <w:tcW w:w="9617" w:type="dxa"/>
          </w:tcPr>
          <w:p w14:paraId="00394C99" w14:textId="77777777" w:rsidR="00FD6380" w:rsidRPr="00C538FF" w:rsidRDefault="00FD6380">
            <w:pPr>
              <w:rPr>
                <w:lang w:val="en-US"/>
              </w:rPr>
            </w:pPr>
            <w:r w:rsidRPr="00C538FF">
              <w:rPr>
                <w:lang w:val="en-US"/>
              </w:rPr>
              <w:t>6.9A.2</w:t>
            </w:r>
            <w:r w:rsidRPr="00C538FF">
              <w:rPr>
                <w:lang w:val="en-US"/>
              </w:rPr>
              <w:tab/>
              <w:t>Requirements</w:t>
            </w:r>
          </w:p>
          <w:p w14:paraId="313C4347" w14:textId="77777777" w:rsidR="00FD6380" w:rsidRPr="00C538FF" w:rsidRDefault="00FD6380">
            <w:pPr>
              <w:rPr>
                <w:lang w:val="en-US"/>
              </w:rPr>
            </w:pPr>
            <w:r w:rsidRPr="00C538FF">
              <w:rPr>
                <w:lang w:val="en-US"/>
              </w:rPr>
              <w:t xml:space="preserve">The UE shall be capable of performing the RRC connection redirection to the non-anchor carrier within </w:t>
            </w:r>
            <w:proofErr w:type="spellStart"/>
            <w:r w:rsidRPr="00C538FF">
              <w:rPr>
                <w:lang w:val="en-US"/>
              </w:rPr>
              <w:t>T</w:t>
            </w:r>
            <w:r w:rsidRPr="00C538FF">
              <w:rPr>
                <w:vertAlign w:val="subscript"/>
                <w:lang w:val="en-US"/>
              </w:rPr>
              <w:t>connection_redirect_non</w:t>
            </w:r>
            <w:proofErr w:type="spellEnd"/>
            <w:r w:rsidRPr="00C538FF">
              <w:rPr>
                <w:vertAlign w:val="subscript"/>
                <w:lang w:val="en-US"/>
              </w:rPr>
              <w:t>-anchor</w:t>
            </w:r>
            <w:r w:rsidRPr="00C538FF">
              <w:rPr>
                <w:lang w:val="en-US"/>
              </w:rPr>
              <w:t>.</w:t>
            </w:r>
          </w:p>
          <w:p w14:paraId="6FEDDAE2" w14:textId="77777777" w:rsidR="00FD6380" w:rsidRPr="00C538FF" w:rsidRDefault="00FD6380">
            <w:pPr>
              <w:rPr>
                <w:lang w:val="en-US"/>
              </w:rPr>
            </w:pPr>
            <w:r w:rsidRPr="00C538FF">
              <w:rPr>
                <w:lang w:val="en-US"/>
              </w:rPr>
              <w:t>The time delay (</w:t>
            </w:r>
            <w:proofErr w:type="spellStart"/>
            <w:r w:rsidRPr="00C538FF">
              <w:rPr>
                <w:lang w:val="en-US"/>
              </w:rPr>
              <w:t>T</w:t>
            </w:r>
            <w:r w:rsidRPr="00C538FF">
              <w:rPr>
                <w:vertAlign w:val="subscript"/>
                <w:lang w:val="en-US"/>
              </w:rPr>
              <w:t>connection_redirect_non</w:t>
            </w:r>
            <w:proofErr w:type="spellEnd"/>
            <w:r w:rsidRPr="00C538FF">
              <w:rPr>
                <w:vertAlign w:val="subscript"/>
                <w:lang w:val="en-US"/>
              </w:rPr>
              <w:t>-anchor</w:t>
            </w:r>
            <w:r w:rsidRPr="00C538FF">
              <w:rPr>
                <w:lang w:val="en-US"/>
              </w:rPr>
              <w:t>) is the time between the end of the last subframe in the repetition period of NPDSCH containing the IE, “</w:t>
            </w:r>
            <w:proofErr w:type="spellStart"/>
            <w:r w:rsidRPr="00C538FF">
              <w:rPr>
                <w:i/>
                <w:lang w:val="en-US"/>
              </w:rPr>
              <w:t>CarrierConfigDedicated</w:t>
            </w:r>
            <w:proofErr w:type="spellEnd"/>
            <w:r w:rsidRPr="00C538FF">
              <w:rPr>
                <w:i/>
                <w:lang w:val="en-US"/>
              </w:rPr>
              <w:t>-NB</w:t>
            </w:r>
            <w:r w:rsidRPr="00C538FF">
              <w:rPr>
                <w:lang w:val="en-US"/>
              </w:rPr>
              <w:t>” received on the anchor carrier and the end of the last subframe in the repetition period of NPUSCH transmitted on the target non-anchor carrier. The time delay (</w:t>
            </w:r>
            <w:proofErr w:type="spellStart"/>
            <w:r w:rsidRPr="00C538FF">
              <w:rPr>
                <w:lang w:val="en-US"/>
              </w:rPr>
              <w:t>T</w:t>
            </w:r>
            <w:r w:rsidRPr="00C538FF">
              <w:rPr>
                <w:vertAlign w:val="subscript"/>
                <w:lang w:val="en-US"/>
              </w:rPr>
              <w:t>connection_redirect_non</w:t>
            </w:r>
            <w:proofErr w:type="spellEnd"/>
            <w:r w:rsidRPr="00C538FF">
              <w:rPr>
                <w:vertAlign w:val="subscript"/>
                <w:lang w:val="en-US"/>
              </w:rPr>
              <w:t>-anchor</w:t>
            </w:r>
            <w:r w:rsidRPr="00C538FF">
              <w:rPr>
                <w:lang w:val="en-US"/>
              </w:rPr>
              <w:t>) shall be less than:</w:t>
            </w:r>
          </w:p>
          <w:p w14:paraId="12F30D9C" w14:textId="77777777" w:rsidR="00FD6380" w:rsidRPr="00C538FF" w:rsidRDefault="00FD6380">
            <w:pPr>
              <w:rPr>
                <w:vertAlign w:val="subscript"/>
                <w:lang w:val="en-US"/>
              </w:rPr>
            </w:pPr>
            <w:r w:rsidRPr="00C538FF">
              <w:rPr>
                <w:lang w:val="en-US"/>
              </w:rPr>
              <w:tab/>
            </w:r>
            <w:proofErr w:type="spellStart"/>
            <w:r w:rsidRPr="00C538FF">
              <w:rPr>
                <w:lang w:val="en-US"/>
              </w:rPr>
              <w:t>T</w:t>
            </w:r>
            <w:r w:rsidRPr="00C538FF">
              <w:rPr>
                <w:vertAlign w:val="subscript"/>
                <w:lang w:val="en-US"/>
              </w:rPr>
              <w:t>connection_redirect_non</w:t>
            </w:r>
            <w:proofErr w:type="spellEnd"/>
            <w:r w:rsidRPr="00C538FF">
              <w:rPr>
                <w:vertAlign w:val="subscript"/>
                <w:lang w:val="en-US"/>
              </w:rPr>
              <w:t>-anchor</w:t>
            </w:r>
            <w:r w:rsidRPr="00C538FF">
              <w:rPr>
                <w:lang w:val="en-US"/>
              </w:rPr>
              <w:t xml:space="preserve"> = </w:t>
            </w:r>
            <w:proofErr w:type="spellStart"/>
            <w:r w:rsidRPr="00C538FF">
              <w:rPr>
                <w:lang w:val="en-US"/>
              </w:rPr>
              <w:t>T</w:t>
            </w:r>
            <w:r w:rsidRPr="00C538FF">
              <w:rPr>
                <w:vertAlign w:val="subscript"/>
                <w:lang w:val="en-US"/>
              </w:rPr>
              <w:t>RRC_procedure_delay</w:t>
            </w:r>
            <w:proofErr w:type="spellEnd"/>
            <w:r w:rsidRPr="00C538FF">
              <w:rPr>
                <w:vertAlign w:val="subscript"/>
                <w:lang w:val="en-US"/>
              </w:rPr>
              <w:t xml:space="preserve"> </w:t>
            </w:r>
            <w:r w:rsidRPr="00C538FF">
              <w:rPr>
                <w:lang w:val="en-US"/>
              </w:rPr>
              <w:t xml:space="preserve">+ </w:t>
            </w:r>
            <w:proofErr w:type="spellStart"/>
            <w:r w:rsidRPr="00C538FF">
              <w:rPr>
                <w:lang w:val="en-US"/>
              </w:rPr>
              <w:t>T</w:t>
            </w:r>
            <w:r w:rsidRPr="00C538FF">
              <w:rPr>
                <w:vertAlign w:val="subscript"/>
                <w:lang w:val="en-US"/>
              </w:rPr>
              <w:t>period_DL_bitmap</w:t>
            </w:r>
            <w:proofErr w:type="spellEnd"/>
            <w:r w:rsidRPr="00C538FF">
              <w:rPr>
                <w:lang w:val="en-US"/>
              </w:rPr>
              <w:t xml:space="preserve"> + </w:t>
            </w:r>
            <w:proofErr w:type="spellStart"/>
            <w:r w:rsidRPr="00C538FF">
              <w:rPr>
                <w:lang w:val="en-US"/>
              </w:rPr>
              <w:t>T</w:t>
            </w:r>
            <w:r w:rsidRPr="00C538FF">
              <w:rPr>
                <w:vertAlign w:val="subscript"/>
                <w:lang w:val="en-US"/>
              </w:rPr>
              <w:t>UL_grant</w:t>
            </w:r>
            <w:proofErr w:type="spellEnd"/>
            <w:r w:rsidRPr="00C538FF">
              <w:rPr>
                <w:vertAlign w:val="subscript"/>
                <w:lang w:val="en-US"/>
              </w:rPr>
              <w:t xml:space="preserve"> </w:t>
            </w:r>
            <w:r w:rsidRPr="00C538FF">
              <w:rPr>
                <w:lang w:val="en-US"/>
              </w:rPr>
              <w:t>+ T</w:t>
            </w:r>
            <w:r w:rsidRPr="00C538FF">
              <w:rPr>
                <w:vertAlign w:val="subscript"/>
                <w:lang w:val="en-US"/>
              </w:rPr>
              <w:t>DL-UL switch</w:t>
            </w:r>
            <w:r w:rsidRPr="00C538FF">
              <w:rPr>
                <w:lang w:val="en-US"/>
              </w:rPr>
              <w:t xml:space="preserve"> + T</w:t>
            </w:r>
            <w:r w:rsidRPr="00C538FF">
              <w:rPr>
                <w:vertAlign w:val="subscript"/>
                <w:lang w:val="en-US"/>
              </w:rPr>
              <w:t>NPUSCH</w:t>
            </w:r>
          </w:p>
          <w:p w14:paraId="115DD6BE" w14:textId="77777777" w:rsidR="00FD6380" w:rsidRPr="00C538FF" w:rsidRDefault="00FD6380">
            <w:pPr>
              <w:rPr>
                <w:lang w:val="en-US"/>
              </w:rPr>
            </w:pPr>
            <w:r w:rsidRPr="00C538FF">
              <w:rPr>
                <w:lang w:val="en-US"/>
              </w:rPr>
              <w:t>-</w:t>
            </w:r>
            <w:r w:rsidRPr="00C538FF">
              <w:rPr>
                <w:lang w:val="en-US"/>
              </w:rPr>
              <w:tab/>
            </w:r>
            <w:proofErr w:type="spellStart"/>
            <w:r w:rsidRPr="00C538FF">
              <w:rPr>
                <w:lang w:val="en-US"/>
              </w:rPr>
              <w:t>T</w:t>
            </w:r>
            <w:r w:rsidRPr="00C538FF">
              <w:rPr>
                <w:vertAlign w:val="subscript"/>
                <w:lang w:val="en-US"/>
              </w:rPr>
              <w:t>RRC_procedure_delay</w:t>
            </w:r>
            <w:proofErr w:type="spellEnd"/>
            <w:r w:rsidRPr="00C538FF">
              <w:rPr>
                <w:lang w:val="en-US"/>
              </w:rPr>
              <w:t>: It is the RRC procedure for processing the received message “</w:t>
            </w:r>
            <w:proofErr w:type="spellStart"/>
            <w:r w:rsidRPr="00C538FF">
              <w:rPr>
                <w:i/>
                <w:lang w:val="en-US"/>
              </w:rPr>
              <w:t>CarrierConfigDedicated</w:t>
            </w:r>
            <w:proofErr w:type="spellEnd"/>
            <w:r w:rsidRPr="00C538FF">
              <w:rPr>
                <w:i/>
                <w:lang w:val="en-US"/>
              </w:rPr>
              <w:t>-NB</w:t>
            </w:r>
            <w:r w:rsidRPr="00C538FF">
              <w:rPr>
                <w:lang w:val="en-US"/>
              </w:rPr>
              <w:t xml:space="preserve">”. It shall be less than 110 </w:t>
            </w:r>
            <w:proofErr w:type="spellStart"/>
            <w:r w:rsidRPr="00C538FF">
              <w:rPr>
                <w:lang w:val="en-US"/>
              </w:rPr>
              <w:t>ms.</w:t>
            </w:r>
            <w:proofErr w:type="spellEnd"/>
          </w:p>
          <w:p w14:paraId="5803EBEC" w14:textId="77777777" w:rsidR="00FD6380" w:rsidRDefault="00FD6380">
            <w:pPr>
              <w:rPr>
                <w:lang w:val="en-US"/>
              </w:rPr>
            </w:pPr>
            <w:r w:rsidRPr="00C538FF">
              <w:rPr>
                <w:lang w:val="en-US"/>
              </w:rPr>
              <w:t>-</w:t>
            </w:r>
            <w:r w:rsidRPr="00C538FF">
              <w:rPr>
                <w:lang w:val="en-US"/>
              </w:rPr>
              <w:tab/>
            </w:r>
            <w:proofErr w:type="spellStart"/>
            <w:r w:rsidRPr="00C538FF">
              <w:rPr>
                <w:lang w:val="en-US"/>
              </w:rPr>
              <w:t>T</w:t>
            </w:r>
            <w:r w:rsidRPr="00C538FF">
              <w:rPr>
                <w:vertAlign w:val="subscript"/>
                <w:lang w:val="en-US"/>
              </w:rPr>
              <w:t>period_DL_bitmap</w:t>
            </w:r>
            <w:proofErr w:type="spellEnd"/>
            <w:r w:rsidRPr="00C538FF">
              <w:rPr>
                <w:lang w:val="en-US"/>
              </w:rPr>
              <w:t xml:space="preserve">: It is the periodicity of the downlink subframe configuration for downlink transmission on the non-anchor carrier. </w:t>
            </w:r>
            <w:r w:rsidRPr="00C538FF">
              <w:rPr>
                <w:highlight w:val="cyan"/>
                <w:lang w:val="en-US"/>
              </w:rPr>
              <w:t xml:space="preserve">It is configured via IE </w:t>
            </w:r>
            <w:r w:rsidRPr="00C538FF">
              <w:rPr>
                <w:i/>
                <w:highlight w:val="cyan"/>
                <w:lang w:val="en-US"/>
              </w:rPr>
              <w:t>DL-Bitmap-NB</w:t>
            </w:r>
            <w:r w:rsidRPr="00C538FF">
              <w:rPr>
                <w:highlight w:val="cyan"/>
                <w:lang w:val="en-US"/>
              </w:rPr>
              <w:t xml:space="preserve"> [2] and can be 10 </w:t>
            </w:r>
            <w:proofErr w:type="spellStart"/>
            <w:r w:rsidRPr="00C538FF">
              <w:rPr>
                <w:highlight w:val="cyan"/>
                <w:lang w:val="en-US"/>
              </w:rPr>
              <w:t>ms</w:t>
            </w:r>
            <w:proofErr w:type="spellEnd"/>
            <w:r w:rsidRPr="00C538FF">
              <w:rPr>
                <w:highlight w:val="cyan"/>
                <w:lang w:val="en-US"/>
              </w:rPr>
              <w:t xml:space="preserve"> or 40 </w:t>
            </w:r>
            <w:proofErr w:type="spellStart"/>
            <w:r w:rsidRPr="00C538FF">
              <w:rPr>
                <w:highlight w:val="cyan"/>
                <w:lang w:val="en-US"/>
              </w:rPr>
              <w:t>ms.</w:t>
            </w:r>
            <w:proofErr w:type="spellEnd"/>
          </w:p>
          <w:p w14:paraId="297E9FB7" w14:textId="77777777" w:rsidR="00FD6380" w:rsidRPr="00C538FF" w:rsidRDefault="00FD6380">
            <w:pPr>
              <w:rPr>
                <w:lang w:val="en-US"/>
              </w:rPr>
            </w:pPr>
            <w:r w:rsidRPr="00C538FF">
              <w:rPr>
                <w:lang w:val="en-US"/>
              </w:rPr>
              <w:t>T</w:t>
            </w:r>
            <w:r w:rsidRPr="00C538FF">
              <w:rPr>
                <w:vertAlign w:val="subscript"/>
                <w:lang w:val="en-US"/>
              </w:rPr>
              <w:t>DL-UL switch</w:t>
            </w:r>
            <w:r w:rsidRPr="00C538FF">
              <w:rPr>
                <w:lang w:val="en-US"/>
              </w:rPr>
              <w:t xml:space="preserve">: It is the time between the end of the last subframe in the repetition period of NPDCCH received on the non-anchor carrier and the start of the first subframe in the repetition period of the corresponding NPUSCH transmitted on the non-anchor carrier. </w:t>
            </w:r>
            <w:r w:rsidRPr="00C538FF">
              <w:rPr>
                <w:highlight w:val="cyan"/>
                <w:lang w:val="en-US"/>
              </w:rPr>
              <w:t>T</w:t>
            </w:r>
            <w:r w:rsidRPr="00C538FF">
              <w:rPr>
                <w:highlight w:val="cyan"/>
                <w:vertAlign w:val="subscript"/>
                <w:lang w:val="en-US"/>
              </w:rPr>
              <w:t>DL-UL switch</w:t>
            </w:r>
            <w:r w:rsidRPr="00C538FF">
              <w:rPr>
                <w:highlight w:val="cyan"/>
                <w:lang w:val="en-US"/>
              </w:rPr>
              <w:t xml:space="preserve"> is 8 </w:t>
            </w:r>
            <w:proofErr w:type="spellStart"/>
            <w:r w:rsidRPr="00C538FF">
              <w:rPr>
                <w:highlight w:val="cyan"/>
                <w:lang w:val="en-US"/>
              </w:rPr>
              <w:t>ms.</w:t>
            </w:r>
            <w:proofErr w:type="spellEnd"/>
          </w:p>
          <w:p w14:paraId="79C2074B" w14:textId="77777777" w:rsidR="00FD6380" w:rsidRPr="00C538FF" w:rsidRDefault="00FD6380">
            <w:pPr>
              <w:rPr>
                <w:lang w:val="en-US"/>
              </w:rPr>
            </w:pPr>
            <w:r w:rsidRPr="00C538FF">
              <w:rPr>
                <w:lang w:val="en-US"/>
              </w:rPr>
              <w:lastRenderedPageBreak/>
              <w:t>-</w:t>
            </w:r>
            <w:r w:rsidRPr="00C538FF">
              <w:rPr>
                <w:lang w:val="en-US"/>
              </w:rPr>
              <w:tab/>
              <w:t>T</w:t>
            </w:r>
            <w:r w:rsidRPr="00C538FF">
              <w:rPr>
                <w:vertAlign w:val="subscript"/>
                <w:lang w:val="en-US"/>
              </w:rPr>
              <w:t>NPUSCH</w:t>
            </w:r>
            <w:r w:rsidRPr="00C538FF">
              <w:rPr>
                <w:lang w:val="en-US"/>
              </w:rPr>
              <w:t>: It is the time required to transmit NPUSCH on the non-anchor carrier. The value of T</w:t>
            </w:r>
            <w:r w:rsidRPr="00C538FF">
              <w:rPr>
                <w:vertAlign w:val="subscript"/>
                <w:lang w:val="en-US"/>
              </w:rPr>
              <w:t xml:space="preserve">NPUSCH </w:t>
            </w:r>
            <w:r w:rsidRPr="00C538FF">
              <w:rPr>
                <w:lang w:val="en-US"/>
              </w:rPr>
              <w:t>depends on the number of repetitions of NPUSCH used in the non-anchor carrier.</w:t>
            </w:r>
          </w:p>
          <w:p w14:paraId="239EC3F4" w14:textId="77777777" w:rsidR="00FD6380" w:rsidRPr="00C538FF" w:rsidRDefault="00FD6380">
            <w:pPr>
              <w:rPr>
                <w:lang w:val="en-US"/>
              </w:rPr>
            </w:pPr>
            <w:r w:rsidRPr="00C538FF">
              <w:rPr>
                <w:lang w:val="en-US"/>
              </w:rPr>
              <w:t>When the NPUSCH ACK transmission for the received RRC message takes longer than 110ms, the overall RRC connection redirection delay may be extended.</w:t>
            </w:r>
          </w:p>
          <w:p w14:paraId="1CD03D49" w14:textId="77777777" w:rsidR="00FD6380" w:rsidRPr="00C538FF" w:rsidRDefault="00FD6380">
            <w:pPr>
              <w:rPr>
                <w:lang w:val="en-US"/>
              </w:rPr>
            </w:pPr>
          </w:p>
          <w:p w14:paraId="7BCBE498" w14:textId="77777777" w:rsidR="00FD6380" w:rsidRPr="00C538FF" w:rsidRDefault="00FD6380">
            <w:pPr>
              <w:rPr>
                <w:lang w:val="en-US"/>
              </w:rPr>
            </w:pPr>
          </w:p>
        </w:tc>
      </w:tr>
    </w:tbl>
    <w:p w14:paraId="1D160FBA" w14:textId="77777777" w:rsidR="00FD6380" w:rsidRDefault="00FD6380" w:rsidP="00FD6380"/>
    <w:p w14:paraId="72660452" w14:textId="77777777" w:rsidR="00FD6380" w:rsidRDefault="00FD6380" w:rsidP="00FD6380">
      <w:r>
        <w:t xml:space="preserve"> As we highlight above, two of the parameters need to be revisited during this WI, as they are impacted by the periodic pattern introduced. </w:t>
      </w:r>
    </w:p>
    <w:p w14:paraId="4EC0AF01" w14:textId="77777777" w:rsidR="00FD6380" w:rsidRDefault="00FD6380" w:rsidP="00FD6380">
      <w:pPr>
        <w:rPr>
          <w:lang w:val="en-US"/>
        </w:rPr>
      </w:pPr>
      <w:r>
        <w:t xml:space="preserve">The </w:t>
      </w:r>
      <w:proofErr w:type="spellStart"/>
      <w:r w:rsidRPr="00C538FF">
        <w:rPr>
          <w:lang w:val="en-US"/>
        </w:rPr>
        <w:t>T</w:t>
      </w:r>
      <w:r w:rsidRPr="00C538FF">
        <w:rPr>
          <w:vertAlign w:val="subscript"/>
          <w:lang w:val="en-US"/>
        </w:rPr>
        <w:t>period_DL_bitmap</w:t>
      </w:r>
      <w:proofErr w:type="spellEnd"/>
      <w:r>
        <w:rPr>
          <w:vertAlign w:val="subscript"/>
          <w:lang w:val="en-US"/>
        </w:rPr>
        <w:t xml:space="preserve"> </w:t>
      </w:r>
      <w:r>
        <w:rPr>
          <w:lang w:val="en-US"/>
        </w:rPr>
        <w:t xml:space="preserve">defines the periodicity of the DL subframe configuration on the non-anchor carrier. It could be previously configured for 10 or 40 </w:t>
      </w:r>
      <w:proofErr w:type="spellStart"/>
      <w:r>
        <w:rPr>
          <w:lang w:val="en-US"/>
        </w:rPr>
        <w:t>ms.</w:t>
      </w:r>
      <w:proofErr w:type="spellEnd"/>
      <w:r>
        <w:rPr>
          <w:lang w:val="en-US"/>
        </w:rPr>
        <w:t xml:space="preserve"> However, in the current WI, due to periodic patterns with cycle periods of 9 radio frames, the “off time”  of a cell might be close to 90 </w:t>
      </w:r>
      <w:proofErr w:type="spellStart"/>
      <w:r>
        <w:rPr>
          <w:lang w:val="en-US"/>
        </w:rPr>
        <w:t>ms.</w:t>
      </w:r>
      <w:proofErr w:type="spellEnd"/>
      <w:r>
        <w:rPr>
          <w:lang w:val="en-US"/>
        </w:rPr>
        <w:t xml:space="preserve"> Therefore, the value of the parameter requires updating. </w:t>
      </w:r>
    </w:p>
    <w:p w14:paraId="5106A4E2" w14:textId="77777777" w:rsidR="00FD6380" w:rsidRDefault="00FD6380" w:rsidP="00FD6380">
      <w:pPr>
        <w:pStyle w:val="RAN4proposal"/>
        <w:rPr>
          <w:lang w:val="en-US"/>
        </w:rPr>
      </w:pPr>
      <w:bookmarkStart w:id="23" w:name="_Toc189838965"/>
      <w:bookmarkStart w:id="24" w:name="_Toc194073735"/>
      <w:r>
        <w:t xml:space="preserve">Update </w:t>
      </w:r>
      <w:proofErr w:type="spellStart"/>
      <w:r w:rsidRPr="00C538FF">
        <w:rPr>
          <w:lang w:val="en-US"/>
        </w:rPr>
        <w:t>T</w:t>
      </w:r>
      <w:r w:rsidRPr="00C538FF">
        <w:rPr>
          <w:vertAlign w:val="subscript"/>
          <w:lang w:val="en-US"/>
        </w:rPr>
        <w:t>period_DL_bitmap</w:t>
      </w:r>
      <w:proofErr w:type="spellEnd"/>
      <w:r>
        <w:rPr>
          <w:vertAlign w:val="subscript"/>
          <w:lang w:val="en-US"/>
        </w:rPr>
        <w:t xml:space="preserve"> </w:t>
      </w:r>
      <w:r>
        <w:rPr>
          <w:lang w:val="en-US"/>
        </w:rPr>
        <w:t xml:space="preserve">to a value compatible with a period of 90 </w:t>
      </w:r>
      <w:proofErr w:type="spellStart"/>
      <w:r>
        <w:rPr>
          <w:lang w:val="en-US"/>
        </w:rPr>
        <w:t>ms.</w:t>
      </w:r>
      <w:bookmarkEnd w:id="23"/>
      <w:bookmarkEnd w:id="24"/>
      <w:proofErr w:type="spellEnd"/>
      <w:r>
        <w:rPr>
          <w:lang w:val="en-US"/>
        </w:rPr>
        <w:t xml:space="preserve"> </w:t>
      </w:r>
    </w:p>
    <w:p w14:paraId="06F0650C" w14:textId="77777777" w:rsidR="00FD6380" w:rsidRDefault="00FD6380" w:rsidP="00FD6380">
      <w:pPr>
        <w:rPr>
          <w:lang w:val="en-US"/>
        </w:rPr>
      </w:pPr>
      <w:r>
        <w:rPr>
          <w:lang w:val="en-US"/>
        </w:rPr>
        <w:t xml:space="preserve">Also the </w:t>
      </w:r>
      <w:r w:rsidRPr="00C538FF">
        <w:rPr>
          <w:lang w:val="en-US"/>
        </w:rPr>
        <w:t>T</w:t>
      </w:r>
      <w:r w:rsidRPr="00C538FF">
        <w:rPr>
          <w:vertAlign w:val="subscript"/>
          <w:lang w:val="en-US"/>
        </w:rPr>
        <w:t>DL-UL switch</w:t>
      </w:r>
      <w:r>
        <w:rPr>
          <w:vertAlign w:val="subscript"/>
          <w:lang w:val="en-US"/>
        </w:rPr>
        <w:t xml:space="preserve"> </w:t>
      </w:r>
      <w:r>
        <w:rPr>
          <w:lang w:val="en-US"/>
        </w:rPr>
        <w:t xml:space="preserve"> which measures the time between the end of the last subframe in the repetition period of the NPDCCH received on the non-anchor carrier and the start of the first subframe in the repetition period of the NPUSCH transmitted on the non-anchor carrier requires updating. Currently the delay value is set to 8 </w:t>
      </w:r>
      <w:proofErr w:type="spellStart"/>
      <w:r>
        <w:rPr>
          <w:lang w:val="en-US"/>
        </w:rPr>
        <w:t>ms.</w:t>
      </w:r>
      <w:proofErr w:type="spellEnd"/>
      <w:r>
        <w:rPr>
          <w:lang w:val="en-US"/>
        </w:rPr>
        <w:t xml:space="preserve"> But in practice this value might be much longer than 8 </w:t>
      </w:r>
      <w:proofErr w:type="spellStart"/>
      <w:r>
        <w:rPr>
          <w:lang w:val="en-US"/>
        </w:rPr>
        <w:t>ms</w:t>
      </w:r>
      <w:proofErr w:type="spellEnd"/>
      <w:r>
        <w:rPr>
          <w:lang w:val="en-US"/>
        </w:rPr>
        <w:t xml:space="preserve">, as there might be a gap between UL and DL active frames in the TDD periodic pattern. </w:t>
      </w:r>
    </w:p>
    <w:p w14:paraId="5120D5C0" w14:textId="4F71E0A7" w:rsidR="00FD6380" w:rsidRDefault="00FD6380" w:rsidP="00FD6380">
      <w:pPr>
        <w:rPr>
          <w:lang w:val="en-US"/>
        </w:rPr>
      </w:pPr>
      <w:r>
        <w:rPr>
          <w:lang w:val="en-US"/>
        </w:rPr>
        <w:t>In fact, regarding the DL-UL switch, RAN1 has reached a significant agreement that might be used as a baseline for establishing the new requirement:</w:t>
      </w:r>
    </w:p>
    <w:tbl>
      <w:tblPr>
        <w:tblStyle w:val="TableGrid"/>
        <w:tblW w:w="0" w:type="auto"/>
        <w:tblLook w:val="04A0" w:firstRow="1" w:lastRow="0" w:firstColumn="1" w:lastColumn="0" w:noHBand="0" w:noVBand="1"/>
      </w:tblPr>
      <w:tblGrid>
        <w:gridCol w:w="9617"/>
      </w:tblGrid>
      <w:tr w:rsidR="00FD6380" w14:paraId="2E6E562E" w14:textId="77777777" w:rsidTr="00FD6380">
        <w:tc>
          <w:tcPr>
            <w:tcW w:w="9617" w:type="dxa"/>
          </w:tcPr>
          <w:p w14:paraId="10EE2CA7" w14:textId="77777777" w:rsidR="00FD6380" w:rsidRPr="00FD6380" w:rsidRDefault="00FD6380" w:rsidP="00FD6380">
            <w:r w:rsidRPr="00FD6380">
              <w:t>Agreement</w:t>
            </w:r>
          </w:p>
          <w:p w14:paraId="1C33BFF6" w14:textId="77777777" w:rsidR="00FD6380" w:rsidRPr="00FD6380" w:rsidRDefault="00FD6380" w:rsidP="00FD6380">
            <w:r w:rsidRPr="00FD6380">
              <w:t xml:space="preserve">The guard period between the end of the downlink subframes and the beginning of the uplink subframes is fixed in specifications to be [48…50] </w:t>
            </w:r>
            <w:proofErr w:type="spellStart"/>
            <w:r w:rsidRPr="00FD6380">
              <w:t>ms</w:t>
            </w:r>
            <w:proofErr w:type="spellEnd"/>
            <w:r w:rsidRPr="00FD6380">
              <w:t xml:space="preserve"> at the ULSRP.</w:t>
            </w:r>
          </w:p>
          <w:p w14:paraId="08580A2D" w14:textId="77777777" w:rsidR="00FD6380" w:rsidRPr="00FD6380" w:rsidRDefault="00FD6380" w:rsidP="00FD6380">
            <w:pPr>
              <w:numPr>
                <w:ilvl w:val="0"/>
                <w:numId w:val="41"/>
              </w:numPr>
            </w:pPr>
            <w:r w:rsidRPr="00FD6380">
              <w:t>NOTE: This corresponds to the largest separation between DL and UL Iridium slot pairs. Adjustments to align with different UL/DL pair can be achieved by adjusting the common TA.</w:t>
            </w:r>
          </w:p>
          <w:p w14:paraId="18E1EDD9" w14:textId="77777777" w:rsidR="00FD6380" w:rsidRPr="00FD6380" w:rsidRDefault="00FD6380" w:rsidP="00FD6380"/>
        </w:tc>
      </w:tr>
    </w:tbl>
    <w:p w14:paraId="295EB33D" w14:textId="77777777" w:rsidR="00FD6380" w:rsidRDefault="00FD6380" w:rsidP="00FD6380">
      <w:pPr>
        <w:rPr>
          <w:lang w:val="en-US"/>
        </w:rPr>
      </w:pPr>
    </w:p>
    <w:p w14:paraId="4F6122E6" w14:textId="32CBD513" w:rsidR="00FD6380" w:rsidRDefault="00FD6380" w:rsidP="00FD6380">
      <w:pPr>
        <w:pStyle w:val="RAN4proposal"/>
        <w:rPr>
          <w:lang w:val="en-US"/>
        </w:rPr>
      </w:pPr>
      <w:bookmarkStart w:id="25" w:name="_Toc189838966"/>
      <w:bookmarkStart w:id="26" w:name="_Toc194073736"/>
      <w:r>
        <w:t xml:space="preserve">Update </w:t>
      </w:r>
      <w:r w:rsidRPr="00C538FF">
        <w:rPr>
          <w:lang w:val="en-US"/>
        </w:rPr>
        <w:t>T</w:t>
      </w:r>
      <w:r w:rsidRPr="00C538FF">
        <w:rPr>
          <w:vertAlign w:val="subscript"/>
          <w:lang w:val="en-US"/>
        </w:rPr>
        <w:t>DL-UL switch</w:t>
      </w:r>
      <w:r>
        <w:rPr>
          <w:vertAlign w:val="subscript"/>
          <w:lang w:val="en-US"/>
        </w:rPr>
        <w:t xml:space="preserve"> </w:t>
      </w:r>
      <w:r>
        <w:rPr>
          <w:lang w:val="en-US"/>
        </w:rPr>
        <w:t xml:space="preserve">to a value equal to the guard period between DL-UL  </w:t>
      </w:r>
      <w:bookmarkEnd w:id="25"/>
      <w:r>
        <w:rPr>
          <w:lang w:val="en-US"/>
        </w:rPr>
        <w:t>subframes to be introduced in specifications by RAN1.</w:t>
      </w:r>
      <w:bookmarkEnd w:id="26"/>
      <w:r>
        <w:rPr>
          <w:lang w:val="en-US"/>
        </w:rPr>
        <w:t xml:space="preserve">  </w:t>
      </w:r>
    </w:p>
    <w:p w14:paraId="2643F383" w14:textId="77777777" w:rsidR="006A3544" w:rsidRPr="006A3544" w:rsidRDefault="006A3544" w:rsidP="006A3544">
      <w:pPr>
        <w:spacing w:after="180" w:line="276" w:lineRule="auto"/>
        <w:rPr>
          <w:rFonts w:eastAsia="SimSun" w:cs="Times New Roman"/>
          <w:szCs w:val="20"/>
          <w:lang w:val="en-US" w:eastAsia="zh-CN"/>
        </w:rPr>
      </w:pPr>
    </w:p>
    <w:p w14:paraId="10BE7090" w14:textId="77777777" w:rsidR="0060543D" w:rsidRPr="008F786B" w:rsidRDefault="0060543D" w:rsidP="0060543D"/>
    <w:p w14:paraId="74F0ECFF" w14:textId="77777777" w:rsidR="0060543D" w:rsidRPr="008F786B" w:rsidRDefault="0060543D" w:rsidP="0060543D"/>
    <w:p w14:paraId="59C0E4AD" w14:textId="77777777" w:rsidR="00893D2E" w:rsidRPr="008F786B" w:rsidRDefault="00893D2E">
      <w:pPr>
        <w:rPr>
          <w:rFonts w:ascii="Arial" w:eastAsia="SimSun" w:hAnsi="Arial" w:cs="Times New Roman"/>
          <w:sz w:val="36"/>
          <w:szCs w:val="20"/>
        </w:rPr>
      </w:pPr>
      <w:bookmarkStart w:id="27" w:name="_Toc116995848"/>
      <w:r w:rsidRPr="008F786B">
        <w:br w:type="page"/>
      </w:r>
    </w:p>
    <w:p w14:paraId="5811AC5E" w14:textId="77777777" w:rsidR="00CD7492" w:rsidRPr="008F786B" w:rsidRDefault="00CD7492" w:rsidP="00A37002">
      <w:pPr>
        <w:pStyle w:val="RAN4H1"/>
      </w:pPr>
      <w:r w:rsidRPr="008F786B">
        <w:lastRenderedPageBreak/>
        <w:t>Conclusion</w:t>
      </w:r>
      <w:bookmarkEnd w:id="27"/>
    </w:p>
    <w:p w14:paraId="390E8517" w14:textId="296EE188" w:rsidR="00381F95" w:rsidRPr="008F786B" w:rsidRDefault="00803C11" w:rsidP="00936159">
      <w:r>
        <w:t>In this paper we analysed the open issues on the IoT TDD work item and have reached conclusions that support the following list of proposals and observations:</w:t>
      </w:r>
    </w:p>
    <w:p w14:paraId="7D148F41" w14:textId="77777777" w:rsidR="00381F95" w:rsidRPr="008F786B" w:rsidRDefault="00381F95" w:rsidP="00936159"/>
    <w:p w14:paraId="37DAAC1E" w14:textId="77777777" w:rsidR="0007611D" w:rsidRDefault="00A4355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194073719" w:history="1">
        <w:r w:rsidR="0007611D" w:rsidRPr="000D4CA3">
          <w:rPr>
            <w:rStyle w:val="Hyperlink"/>
            <w:noProof/>
          </w:rPr>
          <w:t>Proposal 1: Coverage Enhancements requirements are applicable for NB-IoT NTN TDD.</w:t>
        </w:r>
      </w:hyperlink>
    </w:p>
    <w:p w14:paraId="5B09C587" w14:textId="77777777" w:rsidR="0007611D" w:rsidRDefault="0007611D">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4073720" w:history="1">
        <w:r w:rsidRPr="000D4CA3">
          <w:rPr>
            <w:rStyle w:val="Hyperlink"/>
            <w:noProof/>
          </w:rPr>
          <w:t>Proposal 2: Wait for further RAN1 definition to decide whether the requirements for coverage enhancements require updating.</w:t>
        </w:r>
      </w:hyperlink>
    </w:p>
    <w:p w14:paraId="20EBA296" w14:textId="77777777" w:rsidR="0007611D" w:rsidRDefault="0007611D">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4073721" w:history="1">
        <w:r w:rsidRPr="000D4CA3">
          <w:rPr>
            <w:rStyle w:val="Hyperlink"/>
            <w:noProof/>
            <w:lang w:eastAsia="ko-KR"/>
          </w:rPr>
          <w:t>Proposal 3: Wait for RAN1/2 progress related to the mismatch between (e)DRX cycle and the frame pattern.</w:t>
        </w:r>
      </w:hyperlink>
    </w:p>
    <w:p w14:paraId="0AC92678" w14:textId="77777777" w:rsidR="0007611D" w:rsidRDefault="0007611D">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4073722" w:history="1">
        <w:r w:rsidRPr="000D4CA3">
          <w:rPr>
            <w:rStyle w:val="Hyperlink"/>
            <w:noProof/>
          </w:rPr>
          <w:t>Proposal 4: The UE shall be informed about the active periods of the neighbor cells configured to be measured in the new TDD frame pattern.</w:t>
        </w:r>
      </w:hyperlink>
    </w:p>
    <w:p w14:paraId="61D57221" w14:textId="77777777" w:rsidR="0007611D" w:rsidRDefault="0007611D">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4073723" w:history="1">
        <w:r w:rsidRPr="000D4CA3">
          <w:rPr>
            <w:rStyle w:val="Hyperlink"/>
            <w:noProof/>
          </w:rPr>
          <w:t>Proposal 5: Adopt Ksatellite equal to 1 for the cells measured in DL opportunities of a neighbor satellite that are in non-overlapping with DL opportunities to be measured in the serving satellite.</w:t>
        </w:r>
      </w:hyperlink>
    </w:p>
    <w:p w14:paraId="54884017" w14:textId="77777777" w:rsidR="0007611D" w:rsidRDefault="0007611D">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194073724" w:history="1">
        <w:r w:rsidRPr="000D4CA3">
          <w:rPr>
            <w:rStyle w:val="Hyperlink"/>
            <w:b/>
            <w:noProof/>
            <w:lang w:eastAsia="ko-KR"/>
          </w:rPr>
          <w:t>Observation 1:</w:t>
        </w:r>
        <w:r w:rsidRPr="000D4CA3">
          <w:rPr>
            <w:rStyle w:val="Hyperlink"/>
            <w:noProof/>
            <w:lang w:eastAsia="ko-KR"/>
          </w:rPr>
          <w:t xml:space="preserve"> The UE has enough opportunities to acquire NPSS and NSSS within a DRX Cycle, according to the simulation assumptions.</w:t>
        </w:r>
      </w:hyperlink>
    </w:p>
    <w:p w14:paraId="0A0FA5F9" w14:textId="77777777" w:rsidR="0007611D" w:rsidRDefault="0007611D">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4073725" w:history="1">
        <w:r w:rsidRPr="000D4CA3">
          <w:rPr>
            <w:rStyle w:val="Hyperlink"/>
            <w:noProof/>
            <w:lang w:eastAsia="zh-CN"/>
          </w:rPr>
          <w:t>Proposal 6: Do not increase the Tmeasure and Tdetect for intra-frequency measurements when DRX is not configured.</w:t>
        </w:r>
      </w:hyperlink>
    </w:p>
    <w:p w14:paraId="155EFF5A" w14:textId="77777777" w:rsidR="0007611D" w:rsidRDefault="0007611D">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4073726" w:history="1">
        <w:r w:rsidRPr="000D4CA3">
          <w:rPr>
            <w:rStyle w:val="Hyperlink"/>
            <w:noProof/>
            <w:lang w:eastAsia="zh-CN"/>
          </w:rPr>
          <w:t>Proposal 7: As a compromise, scale Tmeasure and Tdetect , when DRX is not configured, by a factor of [2], when the UE measures cells across 3 or more different patterns of DL opportunities.</w:t>
        </w:r>
      </w:hyperlink>
    </w:p>
    <w:p w14:paraId="7876D484" w14:textId="77777777" w:rsidR="0007611D" w:rsidRDefault="0007611D">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4073727" w:history="1">
        <w:r w:rsidRPr="000D4CA3">
          <w:rPr>
            <w:rStyle w:val="Hyperlink"/>
            <w:noProof/>
            <w:lang w:eastAsia="zh-CN"/>
          </w:rPr>
          <w:t>Proposal 8: Scale Tmeasure and Tdetect, when DRX is configured, for intra frequency measurements by a factor of [2] when the UE measures cells across 3 or more different patterns of DL opportunities.</w:t>
        </w:r>
      </w:hyperlink>
    </w:p>
    <w:p w14:paraId="01C3CE55" w14:textId="77777777" w:rsidR="0007611D" w:rsidRDefault="0007611D">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4073728" w:history="1">
        <w:r w:rsidRPr="000D4CA3">
          <w:rPr>
            <w:rStyle w:val="Hyperlink"/>
            <w:noProof/>
            <w:lang w:eastAsia="zh-CN"/>
          </w:rPr>
          <w:t>Proposal 9: Do not scale Tmeasure and Tedetect for inter-frequency measurements.</w:t>
        </w:r>
      </w:hyperlink>
    </w:p>
    <w:p w14:paraId="4FCF4874" w14:textId="77777777" w:rsidR="0007611D" w:rsidRDefault="0007611D">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4073729" w:history="1">
        <w:r w:rsidRPr="000D4CA3">
          <w:rPr>
            <w:rStyle w:val="Hyperlink"/>
            <w:noProof/>
            <w:lang w:val="en-US" w:eastAsia="ko-KR"/>
          </w:rPr>
          <w:t>Proposal 10:</w:t>
        </w:r>
        <w:r w:rsidRPr="000D4CA3">
          <w:rPr>
            <w:rStyle w:val="Hyperlink"/>
            <w:rFonts w:eastAsia="Malgun Gothic" w:cs="Times New Roman"/>
            <w:noProof/>
            <w:lang w:eastAsia="ko-KR"/>
          </w:rPr>
          <w:t xml:space="preserve"> For inter-frequency measurement, the minimum length of measurement occasions is [82] ms.</w:t>
        </w:r>
      </w:hyperlink>
    </w:p>
    <w:p w14:paraId="5E1B5F1C" w14:textId="77777777" w:rsidR="0007611D" w:rsidRDefault="0007611D">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4073730" w:history="1">
        <w:r w:rsidRPr="000D4CA3">
          <w:rPr>
            <w:rStyle w:val="Hyperlink"/>
            <w:noProof/>
            <w:lang w:val="en-US" w:eastAsia="ko-KR"/>
          </w:rPr>
          <w:t>Proposal 11: Requirements are applicable if the cells is provided with assistance information on the DL periodic patterns of the cells to be measured.</w:t>
        </w:r>
      </w:hyperlink>
    </w:p>
    <w:p w14:paraId="5B1CA543" w14:textId="77777777" w:rsidR="0007611D" w:rsidRDefault="0007611D">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4073731" w:history="1">
        <w:r w:rsidRPr="000D4CA3">
          <w:rPr>
            <w:rStyle w:val="Hyperlink"/>
            <w:noProof/>
            <w:lang w:val="en-US"/>
          </w:rPr>
          <w:t>Proposal 12:</w:t>
        </w:r>
        <w:r w:rsidRPr="000D4CA3">
          <w:rPr>
            <w:rStyle w:val="Hyperlink"/>
            <w:noProof/>
          </w:rPr>
          <w:t xml:space="preserve"> Revise the condition where at least one 1 DL subframe per radio frame has to be available at the UE during the measurement period to: “at least 1 DL subframe </w:t>
        </w:r>
        <w:r w:rsidRPr="000D4CA3">
          <w:rPr>
            <w:rStyle w:val="Hyperlink"/>
            <w:noProof/>
            <w:highlight w:val="yellow"/>
          </w:rPr>
          <w:t>per active</w:t>
        </w:r>
        <w:r w:rsidRPr="000D4CA3">
          <w:rPr>
            <w:rStyle w:val="Hyperlink"/>
            <w:noProof/>
          </w:rPr>
          <w:t xml:space="preserve"> DL radio frame of </w:t>
        </w:r>
        <w:r w:rsidRPr="000D4CA3">
          <w:rPr>
            <w:rStyle w:val="Hyperlink"/>
            <w:noProof/>
            <w:lang w:val="en-US"/>
          </w:rPr>
          <w:t xml:space="preserve"> serving NB-IoT cell is available at the UE during measurement”</w:t>
        </w:r>
      </w:hyperlink>
    </w:p>
    <w:p w14:paraId="74FCF159" w14:textId="77777777" w:rsidR="0007611D" w:rsidRDefault="0007611D">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194073732" w:history="1">
        <w:r w:rsidRPr="000D4CA3">
          <w:rPr>
            <w:rStyle w:val="Hyperlink"/>
            <w:b/>
            <w:noProof/>
            <w:lang w:val="en-US"/>
          </w:rPr>
          <w:t>Observation 2:</w:t>
        </w:r>
        <w:r w:rsidRPr="000D4CA3">
          <w:rPr>
            <w:rStyle w:val="Hyperlink"/>
            <w:noProof/>
            <w:lang w:val="en-US"/>
          </w:rPr>
          <w:t xml:space="preserve"> The proposal above is not limited to connected mode measurements in the neighbor cells, but also to other measurement evaluations where the “1 DL subframe per radio frame” is not a reachable condition (clauses 7.23A, 8.14A, 9.1.22A, etc).</w:t>
        </w:r>
      </w:hyperlink>
    </w:p>
    <w:p w14:paraId="26C3E6C2" w14:textId="77777777" w:rsidR="0007611D" w:rsidRDefault="0007611D">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4073733" w:history="1">
        <w:r w:rsidRPr="000D4CA3">
          <w:rPr>
            <w:rStyle w:val="Hyperlink"/>
            <w:noProof/>
            <w:lang w:eastAsia="zh-CN"/>
          </w:rPr>
          <w:t xml:space="preserve">Proposal 13: Do not update </w:t>
        </w:r>
        <w:r w:rsidRPr="000D4CA3">
          <w:rPr>
            <w:rStyle w:val="Hyperlink"/>
            <w:rFonts w:eastAsia="Malgun Gothic" w:cs="Times New Roman"/>
            <w:noProof/>
            <w:lang w:eastAsia="ko-KR"/>
          </w:rPr>
          <w:t>T</w:t>
        </w:r>
        <w:r w:rsidRPr="000D4CA3">
          <w:rPr>
            <w:rStyle w:val="Hyperlink"/>
            <w:rFonts w:eastAsia="Malgun Gothic" w:cs="Times New Roman"/>
            <w:noProof/>
            <w:vertAlign w:val="subscript"/>
            <w:lang w:eastAsia="ko-KR"/>
          </w:rPr>
          <w:t xml:space="preserve">search_NB1-NC,I  </w:t>
        </w:r>
        <w:r w:rsidRPr="000D4CA3">
          <w:rPr>
            <w:rStyle w:val="Hyperlink"/>
            <w:noProof/>
            <w:lang w:eastAsia="zh-CN"/>
          </w:rPr>
          <w:t>for RRC re-establishment</w:t>
        </w:r>
      </w:hyperlink>
    </w:p>
    <w:p w14:paraId="44786B08" w14:textId="77777777" w:rsidR="0007611D" w:rsidRDefault="0007611D">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4073734" w:history="1">
        <w:r w:rsidRPr="000D4CA3">
          <w:rPr>
            <w:rStyle w:val="Hyperlink"/>
            <w:noProof/>
            <w:lang w:eastAsia="zh-CN"/>
          </w:rPr>
          <w:t>Proposal 14: Dot not update RLM requirements in clause 7.23A.2.1</w:t>
        </w:r>
      </w:hyperlink>
    </w:p>
    <w:p w14:paraId="5AAEE17B" w14:textId="77777777" w:rsidR="0007611D" w:rsidRDefault="0007611D">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4073735" w:history="1">
        <w:r w:rsidRPr="000D4CA3">
          <w:rPr>
            <w:rStyle w:val="Hyperlink"/>
            <w:noProof/>
            <w:lang w:val="en-US"/>
          </w:rPr>
          <w:t>Proposal 15:</w:t>
        </w:r>
        <w:r w:rsidRPr="000D4CA3">
          <w:rPr>
            <w:rStyle w:val="Hyperlink"/>
            <w:noProof/>
          </w:rPr>
          <w:t xml:space="preserve"> Update </w:t>
        </w:r>
        <w:r w:rsidRPr="000D4CA3">
          <w:rPr>
            <w:rStyle w:val="Hyperlink"/>
            <w:noProof/>
            <w:lang w:val="en-US"/>
          </w:rPr>
          <w:t>T</w:t>
        </w:r>
        <w:r w:rsidRPr="000D4CA3">
          <w:rPr>
            <w:rStyle w:val="Hyperlink"/>
            <w:noProof/>
            <w:vertAlign w:val="subscript"/>
            <w:lang w:val="en-US"/>
          </w:rPr>
          <w:t xml:space="preserve">period_DL_bitmap </w:t>
        </w:r>
        <w:r w:rsidRPr="000D4CA3">
          <w:rPr>
            <w:rStyle w:val="Hyperlink"/>
            <w:noProof/>
            <w:lang w:val="en-US"/>
          </w:rPr>
          <w:t>to a value compatible with a period of 90 ms.</w:t>
        </w:r>
      </w:hyperlink>
    </w:p>
    <w:p w14:paraId="020D01C8" w14:textId="77777777" w:rsidR="0007611D" w:rsidRDefault="0007611D">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4073736" w:history="1">
        <w:r w:rsidRPr="000D4CA3">
          <w:rPr>
            <w:rStyle w:val="Hyperlink"/>
            <w:noProof/>
            <w:lang w:val="en-US"/>
          </w:rPr>
          <w:t>Proposal 16:</w:t>
        </w:r>
        <w:r w:rsidRPr="000D4CA3">
          <w:rPr>
            <w:rStyle w:val="Hyperlink"/>
            <w:noProof/>
          </w:rPr>
          <w:t xml:space="preserve"> Update </w:t>
        </w:r>
        <w:r w:rsidRPr="000D4CA3">
          <w:rPr>
            <w:rStyle w:val="Hyperlink"/>
            <w:noProof/>
            <w:lang w:val="en-US"/>
          </w:rPr>
          <w:t>T</w:t>
        </w:r>
        <w:r w:rsidRPr="000D4CA3">
          <w:rPr>
            <w:rStyle w:val="Hyperlink"/>
            <w:noProof/>
            <w:vertAlign w:val="subscript"/>
            <w:lang w:val="en-US"/>
          </w:rPr>
          <w:t xml:space="preserve">DL-UL switch </w:t>
        </w:r>
        <w:r w:rsidRPr="000D4CA3">
          <w:rPr>
            <w:rStyle w:val="Hyperlink"/>
            <w:noProof/>
            <w:lang w:val="en-US"/>
          </w:rPr>
          <w:t>to a value equal to the guard period between DL-UL  subframes to be introduced in specifications by RAN1.</w:t>
        </w:r>
      </w:hyperlink>
    </w:p>
    <w:p w14:paraId="38756566" w14:textId="4809FDD1" w:rsidR="00847264" w:rsidRPr="008F786B" w:rsidRDefault="00A4355E" w:rsidP="008C39F7">
      <w:r w:rsidRPr="008F786B">
        <w:fldChar w:fldCharType="end"/>
      </w:r>
      <w:bookmarkStart w:id="28" w:name="_Toc116995849"/>
    </w:p>
    <w:p w14:paraId="0ABFDCD0" w14:textId="77777777" w:rsidR="003B659E" w:rsidRPr="008F786B" w:rsidRDefault="003B659E" w:rsidP="0060543D">
      <w:pPr>
        <w:pStyle w:val="RAN4H1"/>
        <w:numPr>
          <w:ilvl w:val="0"/>
          <w:numId w:val="0"/>
        </w:numPr>
        <w:ind w:left="360" w:hanging="360"/>
      </w:pPr>
      <w:r w:rsidRPr="008F786B">
        <w:t>References</w:t>
      </w:r>
      <w:bookmarkEnd w:id="28"/>
    </w:p>
    <w:p w14:paraId="13493198" w14:textId="77777777" w:rsidR="007D215D" w:rsidRDefault="007D215D" w:rsidP="007D215D">
      <w:pPr>
        <w:pStyle w:val="ListParagraph"/>
        <w:numPr>
          <w:ilvl w:val="0"/>
          <w:numId w:val="21"/>
        </w:numPr>
        <w:spacing w:line="276" w:lineRule="auto"/>
        <w:rPr>
          <w:rFonts w:cstheme="minorHAnsi"/>
          <w:sz w:val="22"/>
          <w:lang w:val="en-US"/>
        </w:rPr>
      </w:pPr>
      <w:bookmarkStart w:id="29" w:name="_Ref114500673"/>
      <w:bookmarkStart w:id="30" w:name="_Ref189739749"/>
      <w:bookmarkStart w:id="31" w:name="_Ref141200037"/>
      <w:bookmarkStart w:id="32" w:name="_Ref101780668"/>
      <w:bookmarkStart w:id="33" w:name="_Ref130930496"/>
      <w:bookmarkStart w:id="34" w:name="_Ref117621126"/>
      <w:bookmarkStart w:id="35" w:name="_Ref110865186"/>
      <w:bookmarkEnd w:id="29"/>
      <w:r>
        <w:rPr>
          <w:rFonts w:cstheme="minorHAnsi"/>
          <w:sz w:val="22"/>
          <w:lang w:val="en-US"/>
        </w:rPr>
        <w:t>RP-242415, “New WID on introduction of IoT-NTN TDD mode”, September 2024</w:t>
      </w:r>
      <w:bookmarkEnd w:id="30"/>
    </w:p>
    <w:p w14:paraId="7A003FF9" w14:textId="77777777" w:rsidR="007D215D" w:rsidRDefault="007D215D" w:rsidP="007D215D">
      <w:pPr>
        <w:pStyle w:val="ListParagraph"/>
        <w:numPr>
          <w:ilvl w:val="0"/>
          <w:numId w:val="21"/>
        </w:numPr>
        <w:spacing w:line="276" w:lineRule="auto"/>
        <w:rPr>
          <w:rFonts w:cstheme="minorHAnsi"/>
          <w:sz w:val="22"/>
          <w:lang w:val="en-US"/>
        </w:rPr>
      </w:pPr>
      <w:bookmarkStart w:id="36" w:name="_Ref189740025"/>
      <w:r w:rsidRPr="007F448E">
        <w:rPr>
          <w:rFonts w:cstheme="minorHAnsi"/>
          <w:sz w:val="22"/>
        </w:rPr>
        <w:t>R4-2419795</w:t>
      </w:r>
      <w:r w:rsidRPr="007F448E">
        <w:rPr>
          <w:rFonts w:cstheme="minorHAnsi"/>
          <w:b/>
          <w:bCs/>
          <w:sz w:val="22"/>
        </w:rPr>
        <w:t xml:space="preserve">,  </w:t>
      </w:r>
      <w:r w:rsidRPr="007F448E">
        <w:rPr>
          <w:rFonts w:cstheme="minorHAnsi"/>
          <w:i/>
          <w:iCs/>
          <w:sz w:val="22"/>
        </w:rPr>
        <w:t xml:space="preserve">Way Forward for [113][317] </w:t>
      </w:r>
      <w:proofErr w:type="spellStart"/>
      <w:r w:rsidRPr="007F448E">
        <w:rPr>
          <w:rFonts w:cstheme="minorHAnsi"/>
          <w:i/>
          <w:iCs/>
          <w:sz w:val="22"/>
        </w:rPr>
        <w:t>IoT_NTN_TDD</w:t>
      </w:r>
      <w:proofErr w:type="spellEnd"/>
      <w:r w:rsidRPr="007F448E">
        <w:rPr>
          <w:rFonts w:cstheme="minorHAnsi"/>
          <w:sz w:val="22"/>
        </w:rPr>
        <w:t xml:space="preserve">, </w:t>
      </w:r>
      <w:r w:rsidRPr="007F448E">
        <w:rPr>
          <w:rFonts w:cstheme="minorHAnsi"/>
          <w:b/>
          <w:bCs/>
          <w:sz w:val="22"/>
        </w:rPr>
        <w:t xml:space="preserve">  </w:t>
      </w:r>
      <w:r w:rsidRPr="007F448E">
        <w:rPr>
          <w:rFonts w:cstheme="minorHAnsi"/>
          <w:sz w:val="22"/>
        </w:rPr>
        <w:t>Moderator (Qualcomm Incorporated),  RAN4 #113, Orlando, US, 18th – 22nd November, 2024</w:t>
      </w:r>
      <w:bookmarkEnd w:id="36"/>
      <w:r>
        <w:rPr>
          <w:rFonts w:cstheme="minorHAnsi"/>
          <w:sz w:val="22"/>
          <w:lang w:val="en-US"/>
        </w:rPr>
        <w:tab/>
      </w:r>
      <w:bookmarkEnd w:id="31"/>
      <w:bookmarkEnd w:id="32"/>
      <w:bookmarkEnd w:id="33"/>
      <w:bookmarkEnd w:id="34"/>
      <w:bookmarkEnd w:id="35"/>
    </w:p>
    <w:p w14:paraId="76A336A7" w14:textId="77777777" w:rsidR="007D215D" w:rsidRPr="00243917" w:rsidRDefault="007D215D" w:rsidP="007D215D">
      <w:pPr>
        <w:pStyle w:val="ListParagraph"/>
        <w:numPr>
          <w:ilvl w:val="0"/>
          <w:numId w:val="21"/>
        </w:numPr>
        <w:spacing w:line="276" w:lineRule="auto"/>
        <w:rPr>
          <w:rFonts w:cstheme="minorHAnsi"/>
          <w:sz w:val="22"/>
          <w:lang w:val="en-US"/>
        </w:rPr>
      </w:pPr>
      <w:bookmarkStart w:id="37" w:name="_Ref189740478"/>
      <w:r w:rsidRPr="009A2422">
        <w:rPr>
          <w:rFonts w:cstheme="minorHAnsi"/>
          <w:sz w:val="22"/>
        </w:rPr>
        <w:t>RP-243293</w:t>
      </w:r>
      <w:r>
        <w:rPr>
          <w:rFonts w:cstheme="minorHAnsi"/>
          <w:sz w:val="22"/>
          <w:lang w:val="en-US"/>
        </w:rPr>
        <w:t>, “</w:t>
      </w:r>
      <w:r w:rsidRPr="009A2422">
        <w:rPr>
          <w:rFonts w:cstheme="minorHAnsi"/>
          <w:sz w:val="22"/>
          <w:lang w:val="en-US"/>
        </w:rPr>
        <w:t>Revised WID on introduction of IoT-NTN TDD mode</w:t>
      </w:r>
      <w:r>
        <w:rPr>
          <w:rFonts w:cstheme="minorHAnsi"/>
          <w:sz w:val="22"/>
          <w:lang w:val="en-US"/>
        </w:rPr>
        <w:t>”, Iridium Satellite LLC, RAN#106, December 2025</w:t>
      </w:r>
      <w:bookmarkEnd w:id="37"/>
    </w:p>
    <w:p w14:paraId="6E74A6F7" w14:textId="77777777" w:rsidR="007D215D" w:rsidRPr="008F786B" w:rsidRDefault="007D215D" w:rsidP="007D215D">
      <w:pPr>
        <w:pStyle w:val="ListParagraph"/>
        <w:numPr>
          <w:ilvl w:val="0"/>
          <w:numId w:val="21"/>
        </w:numPr>
        <w:ind w:right="-22"/>
      </w:pPr>
      <w:bookmarkStart w:id="38" w:name="_Ref181795254"/>
      <w:r w:rsidRPr="00B02230">
        <w:t>R1-2409038</w:t>
      </w:r>
      <w:r>
        <w:t>, “</w:t>
      </w:r>
      <w:r w:rsidRPr="00B02230">
        <w:t>Feature lead summary #1 on IoT-NTN TDD mode</w:t>
      </w:r>
      <w:r>
        <w:t>” , Qualcomm, RAN1#118bis</w:t>
      </w:r>
      <w:bookmarkEnd w:id="38"/>
    </w:p>
    <w:p w14:paraId="7D86DA78" w14:textId="790AF994" w:rsidR="00E82B94" w:rsidRPr="008F786B" w:rsidRDefault="007D215D" w:rsidP="00D66188">
      <w:pPr>
        <w:pStyle w:val="ListParagraph"/>
        <w:numPr>
          <w:ilvl w:val="0"/>
          <w:numId w:val="21"/>
        </w:numPr>
        <w:ind w:right="-22"/>
      </w:pPr>
      <w:bookmarkStart w:id="39" w:name="_Ref193896029"/>
      <w:r w:rsidRPr="007D215D">
        <w:rPr>
          <w:bCs/>
        </w:rPr>
        <w:lastRenderedPageBreak/>
        <w:t>R4-</w:t>
      </w:r>
      <w:r w:rsidRPr="007D215D">
        <w:rPr>
          <w:bCs/>
          <w:lang w:val="en-US"/>
        </w:rPr>
        <w:t>79AH-0138</w:t>
      </w:r>
      <w:r>
        <w:rPr>
          <w:bCs/>
          <w:lang w:val="en-US"/>
        </w:rPr>
        <w:t>, “</w:t>
      </w:r>
      <w:r w:rsidRPr="007D215D">
        <w:rPr>
          <w:bCs/>
          <w:lang w:val="en-US"/>
        </w:rPr>
        <w:t>Cell detection simulation results</w:t>
      </w:r>
      <w:r>
        <w:rPr>
          <w:bCs/>
          <w:lang w:val="en-US"/>
        </w:rPr>
        <w:t xml:space="preserve">”, Nokia, </w:t>
      </w:r>
      <w:r w:rsidRPr="007D215D">
        <w:rPr>
          <w:bCs/>
          <w:lang w:val="en-US"/>
        </w:rPr>
        <w:t>Hong Kong, China, 28rd – 30th June 2016</w:t>
      </w:r>
      <w:bookmarkEnd w:id="39"/>
    </w:p>
    <w:p w14:paraId="11158C92" w14:textId="77777777" w:rsidR="00E82B94" w:rsidRPr="008F786B" w:rsidRDefault="00E82B94" w:rsidP="00E82B94">
      <w:pPr>
        <w:pStyle w:val="ListParagraph"/>
        <w:ind w:right="-22"/>
      </w:pPr>
    </w:p>
    <w:p w14:paraId="563447DF"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FE52E" w14:textId="77777777" w:rsidR="00D43A7D" w:rsidRDefault="00D43A7D" w:rsidP="00001C9B">
      <w:pPr>
        <w:spacing w:after="0" w:line="240" w:lineRule="auto"/>
      </w:pPr>
      <w:r>
        <w:separator/>
      </w:r>
    </w:p>
  </w:endnote>
  <w:endnote w:type="continuationSeparator" w:id="0">
    <w:p w14:paraId="4656F897" w14:textId="77777777" w:rsidR="00D43A7D" w:rsidRDefault="00D43A7D" w:rsidP="00001C9B">
      <w:pPr>
        <w:spacing w:after="0" w:line="240" w:lineRule="auto"/>
      </w:pPr>
      <w:r>
        <w:continuationSeparator/>
      </w:r>
    </w:p>
  </w:endnote>
  <w:endnote w:type="continuationNotice" w:id="1">
    <w:p w14:paraId="331741DF" w14:textId="77777777" w:rsidR="00D43A7D" w:rsidRDefault="00D43A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F0ABF" w14:textId="77777777" w:rsidR="00D43A7D" w:rsidRDefault="00D43A7D" w:rsidP="00001C9B">
      <w:pPr>
        <w:spacing w:after="0" w:line="240" w:lineRule="auto"/>
      </w:pPr>
      <w:r>
        <w:separator/>
      </w:r>
    </w:p>
  </w:footnote>
  <w:footnote w:type="continuationSeparator" w:id="0">
    <w:p w14:paraId="52D953C1" w14:textId="77777777" w:rsidR="00D43A7D" w:rsidRDefault="00D43A7D" w:rsidP="00001C9B">
      <w:pPr>
        <w:spacing w:after="0" w:line="240" w:lineRule="auto"/>
      </w:pPr>
      <w:r>
        <w:continuationSeparator/>
      </w:r>
    </w:p>
  </w:footnote>
  <w:footnote w:type="continuationNotice" w:id="1">
    <w:p w14:paraId="19E6AE68" w14:textId="77777777" w:rsidR="00D43A7D" w:rsidRDefault="00D43A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74E4"/>
    <w:multiLevelType w:val="hybridMultilevel"/>
    <w:tmpl w:val="3DF67E52"/>
    <w:lvl w:ilvl="0" w:tplc="7B12F94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A04D9F"/>
    <w:multiLevelType w:val="hybridMultilevel"/>
    <w:tmpl w:val="21E4B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4E0D47"/>
    <w:multiLevelType w:val="hybridMultilevel"/>
    <w:tmpl w:val="305E1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E8E52FE"/>
    <w:multiLevelType w:val="hybridMultilevel"/>
    <w:tmpl w:val="3934D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43A7DCD"/>
    <w:multiLevelType w:val="multilevel"/>
    <w:tmpl w:val="51C12FDB"/>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2558F"/>
    <w:multiLevelType w:val="hybridMultilevel"/>
    <w:tmpl w:val="149E790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08CA8D1E">
      <w:start w:val="7"/>
      <w:numFmt w:val="bullet"/>
      <w:lvlText w:val=""/>
      <w:lvlJc w:val="left"/>
      <w:pPr>
        <w:ind w:left="2880" w:hanging="360"/>
      </w:pPr>
      <w:rPr>
        <w:rFonts w:ascii="Wingdings" w:eastAsia="SimSun" w:hAnsi="Wingdings"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D965B8"/>
    <w:multiLevelType w:val="hybridMultilevel"/>
    <w:tmpl w:val="1F046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956824"/>
    <w:multiLevelType w:val="hybridMultilevel"/>
    <w:tmpl w:val="0C5EDB64"/>
    <w:lvl w:ilvl="0" w:tplc="04090001">
      <w:start w:val="1"/>
      <w:numFmt w:val="bullet"/>
      <w:lvlText w:val=""/>
      <w:lvlJc w:val="left"/>
      <w:pPr>
        <w:ind w:left="284" w:hanging="360"/>
      </w:pPr>
      <w:rPr>
        <w:rFonts w:ascii="Symbol" w:hAnsi="Symbol" w:hint="default"/>
      </w:rPr>
    </w:lvl>
    <w:lvl w:ilvl="1" w:tplc="C6C61D86">
      <w:numFmt w:val="bullet"/>
      <w:lvlText w:val="•"/>
      <w:lvlJc w:val="left"/>
      <w:pPr>
        <w:ind w:left="1004" w:hanging="360"/>
      </w:pPr>
      <w:rPr>
        <w:rFonts w:ascii="Times New Roman" w:eastAsia="SimSun" w:hAnsi="Times New Roman" w:cs="Times New Roman" w:hint="default"/>
      </w:rPr>
    </w:lvl>
    <w:lvl w:ilvl="2" w:tplc="04090005">
      <w:start w:val="1"/>
      <w:numFmt w:val="bullet"/>
      <w:lvlText w:val=""/>
      <w:lvlJc w:val="left"/>
      <w:pPr>
        <w:ind w:left="1724" w:hanging="360"/>
      </w:pPr>
      <w:rPr>
        <w:rFonts w:ascii="Wingdings" w:hAnsi="Wingdings" w:hint="default"/>
      </w:rPr>
    </w:lvl>
    <w:lvl w:ilvl="3" w:tplc="04090001">
      <w:start w:val="1"/>
      <w:numFmt w:val="bullet"/>
      <w:lvlText w:val=""/>
      <w:lvlJc w:val="left"/>
      <w:pPr>
        <w:ind w:left="2444" w:hanging="360"/>
      </w:pPr>
      <w:rPr>
        <w:rFonts w:ascii="Symbol" w:hAnsi="Symbol" w:hint="default"/>
      </w:rPr>
    </w:lvl>
    <w:lvl w:ilvl="4" w:tplc="04090003">
      <w:start w:val="1"/>
      <w:numFmt w:val="bullet"/>
      <w:lvlText w:val="o"/>
      <w:lvlJc w:val="left"/>
      <w:pPr>
        <w:ind w:left="3164" w:hanging="360"/>
      </w:pPr>
      <w:rPr>
        <w:rFonts w:ascii="Courier New" w:hAnsi="Courier New" w:cs="Courier New" w:hint="default"/>
      </w:rPr>
    </w:lvl>
    <w:lvl w:ilvl="5" w:tplc="04090005">
      <w:start w:val="1"/>
      <w:numFmt w:val="bullet"/>
      <w:lvlText w:val=""/>
      <w:lvlJc w:val="left"/>
      <w:pPr>
        <w:ind w:left="3884" w:hanging="360"/>
      </w:pPr>
      <w:rPr>
        <w:rFonts w:ascii="Wingdings" w:hAnsi="Wingdings" w:hint="default"/>
      </w:rPr>
    </w:lvl>
    <w:lvl w:ilvl="6" w:tplc="04090001">
      <w:start w:val="1"/>
      <w:numFmt w:val="bullet"/>
      <w:lvlText w:val=""/>
      <w:lvlJc w:val="left"/>
      <w:pPr>
        <w:ind w:left="4604" w:hanging="360"/>
      </w:pPr>
      <w:rPr>
        <w:rFonts w:ascii="Symbol" w:hAnsi="Symbol" w:hint="default"/>
      </w:rPr>
    </w:lvl>
    <w:lvl w:ilvl="7" w:tplc="04090003">
      <w:start w:val="1"/>
      <w:numFmt w:val="bullet"/>
      <w:lvlText w:val="o"/>
      <w:lvlJc w:val="left"/>
      <w:pPr>
        <w:ind w:left="5324" w:hanging="360"/>
      </w:pPr>
      <w:rPr>
        <w:rFonts w:ascii="Courier New" w:hAnsi="Courier New" w:cs="Courier New" w:hint="default"/>
      </w:rPr>
    </w:lvl>
    <w:lvl w:ilvl="8" w:tplc="04090005">
      <w:start w:val="1"/>
      <w:numFmt w:val="bullet"/>
      <w:lvlText w:val=""/>
      <w:lvlJc w:val="left"/>
      <w:pPr>
        <w:ind w:left="6044" w:hanging="360"/>
      </w:pPr>
      <w:rPr>
        <w:rFonts w:ascii="Wingdings" w:hAnsi="Wingdings" w:hint="default"/>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2"/>
  </w:num>
  <w:num w:numId="2" w16cid:durableId="1469392472">
    <w:abstractNumId w:val="13"/>
  </w:num>
  <w:num w:numId="3" w16cid:durableId="1792749823">
    <w:abstractNumId w:val="18"/>
  </w:num>
  <w:num w:numId="4" w16cid:durableId="517735681">
    <w:abstractNumId w:val="11"/>
  </w:num>
  <w:num w:numId="5" w16cid:durableId="1142041724">
    <w:abstractNumId w:val="24"/>
  </w:num>
  <w:num w:numId="6" w16cid:durableId="80681869">
    <w:abstractNumId w:val="16"/>
  </w:num>
  <w:num w:numId="7" w16cid:durableId="1566528953">
    <w:abstractNumId w:val="17"/>
  </w:num>
  <w:num w:numId="8" w16cid:durableId="809788981">
    <w:abstractNumId w:val="17"/>
    <w:lvlOverride w:ilvl="0">
      <w:startOverride w:val="1"/>
    </w:lvlOverride>
  </w:num>
  <w:num w:numId="9" w16cid:durableId="1398822153">
    <w:abstractNumId w:val="17"/>
    <w:lvlOverride w:ilvl="0">
      <w:startOverride w:val="1"/>
    </w:lvlOverride>
  </w:num>
  <w:num w:numId="10" w16cid:durableId="1825466284">
    <w:abstractNumId w:val="17"/>
    <w:lvlOverride w:ilvl="0">
      <w:startOverride w:val="1"/>
    </w:lvlOverride>
  </w:num>
  <w:num w:numId="11" w16cid:durableId="1446922321">
    <w:abstractNumId w:val="16"/>
    <w:lvlOverride w:ilvl="0">
      <w:startOverride w:val="1"/>
    </w:lvlOverride>
  </w:num>
  <w:num w:numId="12" w16cid:durableId="122584543">
    <w:abstractNumId w:val="17"/>
    <w:lvlOverride w:ilvl="0">
      <w:startOverride w:val="1"/>
    </w:lvlOverride>
  </w:num>
  <w:num w:numId="13" w16cid:durableId="818807267">
    <w:abstractNumId w:val="16"/>
    <w:lvlOverride w:ilvl="0">
      <w:startOverride w:val="1"/>
    </w:lvlOverride>
  </w:num>
  <w:num w:numId="14" w16cid:durableId="883829348">
    <w:abstractNumId w:val="17"/>
    <w:lvlOverride w:ilvl="0">
      <w:startOverride w:val="1"/>
    </w:lvlOverride>
  </w:num>
  <w:num w:numId="15" w16cid:durableId="438372887">
    <w:abstractNumId w:val="26"/>
  </w:num>
  <w:num w:numId="16" w16cid:durableId="516113510">
    <w:abstractNumId w:val="8"/>
  </w:num>
  <w:num w:numId="17" w16cid:durableId="1456096507">
    <w:abstractNumId w:val="23"/>
  </w:num>
  <w:num w:numId="18" w16cid:durableId="1397970374">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5"/>
  </w:num>
  <w:num w:numId="21" w16cid:durableId="1659071369">
    <w:abstractNumId w:val="20"/>
  </w:num>
  <w:num w:numId="22" w16cid:durableId="1938362445">
    <w:abstractNumId w:val="16"/>
    <w:lvlOverride w:ilvl="0">
      <w:startOverride w:val="1"/>
    </w:lvlOverride>
  </w:num>
  <w:num w:numId="23" w16cid:durableId="913515990">
    <w:abstractNumId w:val="17"/>
    <w:lvlOverride w:ilvl="0">
      <w:startOverride w:val="1"/>
    </w:lvlOverride>
  </w:num>
  <w:num w:numId="24" w16cid:durableId="978418003">
    <w:abstractNumId w:val="3"/>
  </w:num>
  <w:num w:numId="25" w16cid:durableId="143009612">
    <w:abstractNumId w:val="1"/>
  </w:num>
  <w:num w:numId="26" w16cid:durableId="212620654">
    <w:abstractNumId w:val="1"/>
    <w:lvlOverride w:ilvl="0">
      <w:startOverride w:val="1"/>
    </w:lvlOverride>
  </w:num>
  <w:num w:numId="27" w16cid:durableId="1140414542">
    <w:abstractNumId w:val="27"/>
  </w:num>
  <w:num w:numId="28" w16cid:durableId="2095668156">
    <w:abstractNumId w:val="5"/>
  </w:num>
  <w:num w:numId="29" w16cid:durableId="351147740">
    <w:abstractNumId w:val="22"/>
  </w:num>
  <w:num w:numId="30" w16cid:durableId="1870296906">
    <w:abstractNumId w:val="12"/>
  </w:num>
  <w:num w:numId="31" w16cid:durableId="1902981629">
    <w:abstractNumId w:val="25"/>
  </w:num>
  <w:num w:numId="32" w16cid:durableId="1172259412">
    <w:abstractNumId w:val="14"/>
  </w:num>
  <w:num w:numId="33" w16cid:durableId="18164887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18841187">
    <w:abstractNumId w:val="9"/>
  </w:num>
  <w:num w:numId="35" w16cid:durableId="1251428277">
    <w:abstractNumId w:val="0"/>
  </w:num>
  <w:num w:numId="36" w16cid:durableId="1585803480">
    <w:abstractNumId w:val="21"/>
  </w:num>
  <w:num w:numId="37" w16cid:durableId="1161698945">
    <w:abstractNumId w:val="19"/>
  </w:num>
  <w:num w:numId="38" w16cid:durableId="1423650392">
    <w:abstractNumId w:val="10"/>
  </w:num>
  <w:num w:numId="39" w16cid:durableId="861434424">
    <w:abstractNumId w:val="4"/>
  </w:num>
  <w:num w:numId="40" w16cid:durableId="1030572263">
    <w:abstractNumId w:val="7"/>
  </w:num>
  <w:num w:numId="41" w16cid:durableId="49408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A57C8"/>
    <w:rsid w:val="00001C9B"/>
    <w:rsid w:val="000040DC"/>
    <w:rsid w:val="00011784"/>
    <w:rsid w:val="00014104"/>
    <w:rsid w:val="000151EF"/>
    <w:rsid w:val="000239F5"/>
    <w:rsid w:val="00034A9D"/>
    <w:rsid w:val="00061256"/>
    <w:rsid w:val="00072CCA"/>
    <w:rsid w:val="0007385A"/>
    <w:rsid w:val="0007601C"/>
    <w:rsid w:val="0007611D"/>
    <w:rsid w:val="00081544"/>
    <w:rsid w:val="0008612A"/>
    <w:rsid w:val="00090E18"/>
    <w:rsid w:val="000A10BC"/>
    <w:rsid w:val="000A7F53"/>
    <w:rsid w:val="000B0056"/>
    <w:rsid w:val="000B4D2B"/>
    <w:rsid w:val="000C3C7B"/>
    <w:rsid w:val="000D0F93"/>
    <w:rsid w:val="00106416"/>
    <w:rsid w:val="00110481"/>
    <w:rsid w:val="0011051A"/>
    <w:rsid w:val="001127C9"/>
    <w:rsid w:val="00114498"/>
    <w:rsid w:val="00115B88"/>
    <w:rsid w:val="00132F6A"/>
    <w:rsid w:val="00133913"/>
    <w:rsid w:val="00140221"/>
    <w:rsid w:val="00161913"/>
    <w:rsid w:val="001642FC"/>
    <w:rsid w:val="0016496B"/>
    <w:rsid w:val="001743E2"/>
    <w:rsid w:val="001745F8"/>
    <w:rsid w:val="0017508E"/>
    <w:rsid w:val="001838CF"/>
    <w:rsid w:val="001868EE"/>
    <w:rsid w:val="00191DE4"/>
    <w:rsid w:val="001A3BA4"/>
    <w:rsid w:val="001A57C8"/>
    <w:rsid w:val="001A6D1F"/>
    <w:rsid w:val="001B1EA8"/>
    <w:rsid w:val="001E30F6"/>
    <w:rsid w:val="001F4F52"/>
    <w:rsid w:val="00216379"/>
    <w:rsid w:val="00217EE5"/>
    <w:rsid w:val="00223534"/>
    <w:rsid w:val="0023559D"/>
    <w:rsid w:val="00235F5C"/>
    <w:rsid w:val="0024235F"/>
    <w:rsid w:val="002433E2"/>
    <w:rsid w:val="00257FA3"/>
    <w:rsid w:val="00277B56"/>
    <w:rsid w:val="00282A74"/>
    <w:rsid w:val="002849D4"/>
    <w:rsid w:val="00285214"/>
    <w:rsid w:val="00295E70"/>
    <w:rsid w:val="0029757E"/>
    <w:rsid w:val="002A19F5"/>
    <w:rsid w:val="002B4922"/>
    <w:rsid w:val="002B69F3"/>
    <w:rsid w:val="002C22C3"/>
    <w:rsid w:val="002C2D19"/>
    <w:rsid w:val="002D10FA"/>
    <w:rsid w:val="002D4C55"/>
    <w:rsid w:val="002E6DED"/>
    <w:rsid w:val="00300956"/>
    <w:rsid w:val="00307EE8"/>
    <w:rsid w:val="00317187"/>
    <w:rsid w:val="0032499A"/>
    <w:rsid w:val="00327744"/>
    <w:rsid w:val="003341F7"/>
    <w:rsid w:val="00347FEC"/>
    <w:rsid w:val="003509DF"/>
    <w:rsid w:val="00352F6D"/>
    <w:rsid w:val="00356CE0"/>
    <w:rsid w:val="00356F45"/>
    <w:rsid w:val="00366B74"/>
    <w:rsid w:val="003774C0"/>
    <w:rsid w:val="00381F95"/>
    <w:rsid w:val="0038666A"/>
    <w:rsid w:val="003A710A"/>
    <w:rsid w:val="003B4307"/>
    <w:rsid w:val="003B659E"/>
    <w:rsid w:val="003C275E"/>
    <w:rsid w:val="003C4FDE"/>
    <w:rsid w:val="003E58DF"/>
    <w:rsid w:val="003F7007"/>
    <w:rsid w:val="00404C4C"/>
    <w:rsid w:val="00411653"/>
    <w:rsid w:val="0041423F"/>
    <w:rsid w:val="00414F81"/>
    <w:rsid w:val="00426B9A"/>
    <w:rsid w:val="0043212E"/>
    <w:rsid w:val="00436A0F"/>
    <w:rsid w:val="00437150"/>
    <w:rsid w:val="0043750A"/>
    <w:rsid w:val="00447577"/>
    <w:rsid w:val="004731F3"/>
    <w:rsid w:val="004732E9"/>
    <w:rsid w:val="004854BB"/>
    <w:rsid w:val="00494493"/>
    <w:rsid w:val="00496606"/>
    <w:rsid w:val="00497EF3"/>
    <w:rsid w:val="004B2488"/>
    <w:rsid w:val="004E3DDB"/>
    <w:rsid w:val="004E5E66"/>
    <w:rsid w:val="004E7ADB"/>
    <w:rsid w:val="00503B4D"/>
    <w:rsid w:val="00504EE9"/>
    <w:rsid w:val="00514E4F"/>
    <w:rsid w:val="00521576"/>
    <w:rsid w:val="005250E6"/>
    <w:rsid w:val="005353EF"/>
    <w:rsid w:val="00542D23"/>
    <w:rsid w:val="0054442C"/>
    <w:rsid w:val="00550285"/>
    <w:rsid w:val="00562492"/>
    <w:rsid w:val="005624E0"/>
    <w:rsid w:val="00572A20"/>
    <w:rsid w:val="00581618"/>
    <w:rsid w:val="005836F8"/>
    <w:rsid w:val="005918FA"/>
    <w:rsid w:val="00592A86"/>
    <w:rsid w:val="005B3029"/>
    <w:rsid w:val="005B4801"/>
    <w:rsid w:val="005B50E9"/>
    <w:rsid w:val="005C23A4"/>
    <w:rsid w:val="005C7EFA"/>
    <w:rsid w:val="005D1CDF"/>
    <w:rsid w:val="005D2BB7"/>
    <w:rsid w:val="005D6FFE"/>
    <w:rsid w:val="005E61A8"/>
    <w:rsid w:val="005F6419"/>
    <w:rsid w:val="0060301D"/>
    <w:rsid w:val="0060543D"/>
    <w:rsid w:val="006104DD"/>
    <w:rsid w:val="006130B5"/>
    <w:rsid w:val="00614DD8"/>
    <w:rsid w:val="00617400"/>
    <w:rsid w:val="00632D29"/>
    <w:rsid w:val="0064171D"/>
    <w:rsid w:val="0065125B"/>
    <w:rsid w:val="00664950"/>
    <w:rsid w:val="0067346C"/>
    <w:rsid w:val="00683220"/>
    <w:rsid w:val="00684622"/>
    <w:rsid w:val="0068781B"/>
    <w:rsid w:val="00687FA0"/>
    <w:rsid w:val="006A3544"/>
    <w:rsid w:val="006A3C11"/>
    <w:rsid w:val="006B0709"/>
    <w:rsid w:val="006B5F18"/>
    <w:rsid w:val="006B7010"/>
    <w:rsid w:val="006C3095"/>
    <w:rsid w:val="006C7A02"/>
    <w:rsid w:val="006E1151"/>
    <w:rsid w:val="006E6311"/>
    <w:rsid w:val="00701D91"/>
    <w:rsid w:val="007145FF"/>
    <w:rsid w:val="00715B2A"/>
    <w:rsid w:val="00733B21"/>
    <w:rsid w:val="007376A9"/>
    <w:rsid w:val="00743601"/>
    <w:rsid w:val="007450F1"/>
    <w:rsid w:val="007462FF"/>
    <w:rsid w:val="007502FA"/>
    <w:rsid w:val="00751515"/>
    <w:rsid w:val="007626B7"/>
    <w:rsid w:val="00770E45"/>
    <w:rsid w:val="0078009F"/>
    <w:rsid w:val="0078212B"/>
    <w:rsid w:val="00784DF6"/>
    <w:rsid w:val="00785232"/>
    <w:rsid w:val="007A2588"/>
    <w:rsid w:val="007B186C"/>
    <w:rsid w:val="007C1696"/>
    <w:rsid w:val="007C3ED0"/>
    <w:rsid w:val="007C48C4"/>
    <w:rsid w:val="007C5971"/>
    <w:rsid w:val="007D215D"/>
    <w:rsid w:val="007E42DC"/>
    <w:rsid w:val="007E4668"/>
    <w:rsid w:val="007F54B9"/>
    <w:rsid w:val="00803C11"/>
    <w:rsid w:val="00806A76"/>
    <w:rsid w:val="00811C9D"/>
    <w:rsid w:val="00814BA9"/>
    <w:rsid w:val="00816C80"/>
    <w:rsid w:val="0081797B"/>
    <w:rsid w:val="00817C43"/>
    <w:rsid w:val="0082796A"/>
    <w:rsid w:val="0083707A"/>
    <w:rsid w:val="00841BCD"/>
    <w:rsid w:val="00847264"/>
    <w:rsid w:val="00851A8E"/>
    <w:rsid w:val="0085365B"/>
    <w:rsid w:val="008668DA"/>
    <w:rsid w:val="008826C1"/>
    <w:rsid w:val="00883DFD"/>
    <w:rsid w:val="0089210C"/>
    <w:rsid w:val="00893D2E"/>
    <w:rsid w:val="00895B8B"/>
    <w:rsid w:val="008A1BF7"/>
    <w:rsid w:val="008A5B0E"/>
    <w:rsid w:val="008B0961"/>
    <w:rsid w:val="008B6944"/>
    <w:rsid w:val="008C39F7"/>
    <w:rsid w:val="008D1DF4"/>
    <w:rsid w:val="008E19A8"/>
    <w:rsid w:val="008E28E6"/>
    <w:rsid w:val="008F786B"/>
    <w:rsid w:val="0090091A"/>
    <w:rsid w:val="0090373B"/>
    <w:rsid w:val="009042BD"/>
    <w:rsid w:val="00904FE4"/>
    <w:rsid w:val="00911A65"/>
    <w:rsid w:val="009140A1"/>
    <w:rsid w:val="0091797F"/>
    <w:rsid w:val="00927740"/>
    <w:rsid w:val="00936159"/>
    <w:rsid w:val="00977E1D"/>
    <w:rsid w:val="009A32FE"/>
    <w:rsid w:val="009B0573"/>
    <w:rsid w:val="009B7B4B"/>
    <w:rsid w:val="009B7C21"/>
    <w:rsid w:val="009E4E6E"/>
    <w:rsid w:val="009E5FA9"/>
    <w:rsid w:val="00A02C62"/>
    <w:rsid w:val="00A04992"/>
    <w:rsid w:val="00A147AA"/>
    <w:rsid w:val="00A21D71"/>
    <w:rsid w:val="00A22B78"/>
    <w:rsid w:val="00A246F7"/>
    <w:rsid w:val="00A25AE5"/>
    <w:rsid w:val="00A26442"/>
    <w:rsid w:val="00A37002"/>
    <w:rsid w:val="00A4355E"/>
    <w:rsid w:val="00A520D9"/>
    <w:rsid w:val="00A64DA0"/>
    <w:rsid w:val="00A92BCD"/>
    <w:rsid w:val="00AA1B0E"/>
    <w:rsid w:val="00AA47B6"/>
    <w:rsid w:val="00AC06C0"/>
    <w:rsid w:val="00AC163B"/>
    <w:rsid w:val="00AC5CA7"/>
    <w:rsid w:val="00AC6058"/>
    <w:rsid w:val="00AE2BA5"/>
    <w:rsid w:val="00AE56B1"/>
    <w:rsid w:val="00AE6D09"/>
    <w:rsid w:val="00AF7A7C"/>
    <w:rsid w:val="00B02070"/>
    <w:rsid w:val="00B26A8A"/>
    <w:rsid w:val="00B408B6"/>
    <w:rsid w:val="00B542DA"/>
    <w:rsid w:val="00B66B7D"/>
    <w:rsid w:val="00B73862"/>
    <w:rsid w:val="00B73F43"/>
    <w:rsid w:val="00B75BBF"/>
    <w:rsid w:val="00B81CDC"/>
    <w:rsid w:val="00BA0B0C"/>
    <w:rsid w:val="00BA308C"/>
    <w:rsid w:val="00BA6B66"/>
    <w:rsid w:val="00BA6E48"/>
    <w:rsid w:val="00BB56C9"/>
    <w:rsid w:val="00BD2F2A"/>
    <w:rsid w:val="00BE0AF6"/>
    <w:rsid w:val="00BE1F03"/>
    <w:rsid w:val="00BE58A7"/>
    <w:rsid w:val="00BF2218"/>
    <w:rsid w:val="00C0426B"/>
    <w:rsid w:val="00C045DF"/>
    <w:rsid w:val="00C26D43"/>
    <w:rsid w:val="00C35173"/>
    <w:rsid w:val="00C43F4A"/>
    <w:rsid w:val="00C46548"/>
    <w:rsid w:val="00C466C9"/>
    <w:rsid w:val="00C574D5"/>
    <w:rsid w:val="00C73F32"/>
    <w:rsid w:val="00C851E4"/>
    <w:rsid w:val="00C87462"/>
    <w:rsid w:val="00CA180C"/>
    <w:rsid w:val="00CA3EA1"/>
    <w:rsid w:val="00CB22B2"/>
    <w:rsid w:val="00CC3EE2"/>
    <w:rsid w:val="00CD6C0E"/>
    <w:rsid w:val="00CD7492"/>
    <w:rsid w:val="00CE3A6B"/>
    <w:rsid w:val="00D00211"/>
    <w:rsid w:val="00D006D1"/>
    <w:rsid w:val="00D01167"/>
    <w:rsid w:val="00D025AE"/>
    <w:rsid w:val="00D06309"/>
    <w:rsid w:val="00D1086F"/>
    <w:rsid w:val="00D351EA"/>
    <w:rsid w:val="00D40288"/>
    <w:rsid w:val="00D43403"/>
    <w:rsid w:val="00D43A7D"/>
    <w:rsid w:val="00D50A6B"/>
    <w:rsid w:val="00D5270B"/>
    <w:rsid w:val="00D62E71"/>
    <w:rsid w:val="00D6430D"/>
    <w:rsid w:val="00D66188"/>
    <w:rsid w:val="00D731F6"/>
    <w:rsid w:val="00D740CA"/>
    <w:rsid w:val="00D76707"/>
    <w:rsid w:val="00D816F8"/>
    <w:rsid w:val="00D85728"/>
    <w:rsid w:val="00D95481"/>
    <w:rsid w:val="00D96E40"/>
    <w:rsid w:val="00DC7A13"/>
    <w:rsid w:val="00DE6AFF"/>
    <w:rsid w:val="00DE7064"/>
    <w:rsid w:val="00DF2997"/>
    <w:rsid w:val="00DF7F06"/>
    <w:rsid w:val="00E10BC4"/>
    <w:rsid w:val="00E1415D"/>
    <w:rsid w:val="00E213BD"/>
    <w:rsid w:val="00E233D3"/>
    <w:rsid w:val="00E25E71"/>
    <w:rsid w:val="00E323E9"/>
    <w:rsid w:val="00E32FB6"/>
    <w:rsid w:val="00E33098"/>
    <w:rsid w:val="00E34018"/>
    <w:rsid w:val="00E437D2"/>
    <w:rsid w:val="00E43BF9"/>
    <w:rsid w:val="00E47BC6"/>
    <w:rsid w:val="00E51930"/>
    <w:rsid w:val="00E54B70"/>
    <w:rsid w:val="00E55751"/>
    <w:rsid w:val="00E5652C"/>
    <w:rsid w:val="00E7398E"/>
    <w:rsid w:val="00E82B94"/>
    <w:rsid w:val="00E87217"/>
    <w:rsid w:val="00EA2311"/>
    <w:rsid w:val="00EC0914"/>
    <w:rsid w:val="00EC7BC3"/>
    <w:rsid w:val="00ED7600"/>
    <w:rsid w:val="00EF6073"/>
    <w:rsid w:val="00EF698B"/>
    <w:rsid w:val="00F1362C"/>
    <w:rsid w:val="00F16FE7"/>
    <w:rsid w:val="00F414F1"/>
    <w:rsid w:val="00F473FE"/>
    <w:rsid w:val="00F508B8"/>
    <w:rsid w:val="00F72CB1"/>
    <w:rsid w:val="00F8215E"/>
    <w:rsid w:val="00F824F5"/>
    <w:rsid w:val="00F90FAB"/>
    <w:rsid w:val="00F9374D"/>
    <w:rsid w:val="00F9475A"/>
    <w:rsid w:val="00FA454E"/>
    <w:rsid w:val="00FB6924"/>
    <w:rsid w:val="00FC29B9"/>
    <w:rsid w:val="00FC6FD3"/>
    <w:rsid w:val="00FD6380"/>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179F4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2488"/>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中等深浅网格 1 - 着色 21,????,列出段落1,¥¡¡¡¡ì¬º¥¹¥È¶ÎÂä,ÁÐ³ö¶ÎÂä,列表段落1,—ño’i—Ž,¥ê¥¹¥È¶ÎÂä,1st level - Bullet List Paragraph,Lettre d'introduction,Paragrafo elenco,Normal bullet 2,列出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リスト段落 Char,Lista1 Char,中等深浅网格 1 - 着色 21 Char,???? Char,列出段落1 Char,¥¡¡¡¡ì¬º¥¹¥È¶ÎÂä Char,ÁÐ³ö¶ÎÂä Char,列表段落1 Char,—ño’i—Ž Char,¥ê¥¹¥È¶ÎÂä Char,列出段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Agreement">
    <w:name w:val="Agreement"/>
    <w:basedOn w:val="Normal"/>
    <w:next w:val="Normal"/>
    <w:uiPriority w:val="99"/>
    <w:qFormat/>
    <w:rsid w:val="00D76707"/>
    <w:pPr>
      <w:numPr>
        <w:numId w:val="31"/>
      </w:numPr>
      <w:tabs>
        <w:tab w:val="num" w:pos="1619"/>
      </w:tabs>
      <w:overflowPunct w:val="0"/>
      <w:autoSpaceDE w:val="0"/>
      <w:autoSpaceDN w:val="0"/>
      <w:adjustRightInd w:val="0"/>
      <w:spacing w:before="60" w:after="0" w:line="240" w:lineRule="auto"/>
      <w:ind w:left="1616" w:hanging="357"/>
    </w:pPr>
    <w:rPr>
      <w:rFonts w:ascii="Arial" w:eastAsia="Times New Roman" w:hAnsi="Arial" w:cs="Times New Roman"/>
      <w:b/>
      <w:szCs w:val="20"/>
      <w:lang w:eastAsia="ja-JP"/>
    </w:rPr>
  </w:style>
  <w:style w:type="paragraph" w:styleId="Revision">
    <w:name w:val="Revision"/>
    <w:hidden/>
    <w:uiPriority w:val="99"/>
    <w:semiHidden/>
    <w:rsid w:val="0017508E"/>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88994">
      <w:bodyDiv w:val="1"/>
      <w:marLeft w:val="0"/>
      <w:marRight w:val="0"/>
      <w:marTop w:val="0"/>
      <w:marBottom w:val="0"/>
      <w:divBdr>
        <w:top w:val="none" w:sz="0" w:space="0" w:color="auto"/>
        <w:left w:val="none" w:sz="0" w:space="0" w:color="auto"/>
        <w:bottom w:val="none" w:sz="0" w:space="0" w:color="auto"/>
        <w:right w:val="none" w:sz="0" w:space="0" w:color="auto"/>
      </w:divBdr>
    </w:div>
    <w:div w:id="50734816">
      <w:bodyDiv w:val="1"/>
      <w:marLeft w:val="0"/>
      <w:marRight w:val="0"/>
      <w:marTop w:val="0"/>
      <w:marBottom w:val="0"/>
      <w:divBdr>
        <w:top w:val="none" w:sz="0" w:space="0" w:color="auto"/>
        <w:left w:val="none" w:sz="0" w:space="0" w:color="auto"/>
        <w:bottom w:val="none" w:sz="0" w:space="0" w:color="auto"/>
        <w:right w:val="none" w:sz="0" w:space="0" w:color="auto"/>
      </w:divBdr>
    </w:div>
    <w:div w:id="177045192">
      <w:bodyDiv w:val="1"/>
      <w:marLeft w:val="0"/>
      <w:marRight w:val="0"/>
      <w:marTop w:val="0"/>
      <w:marBottom w:val="0"/>
      <w:divBdr>
        <w:top w:val="none" w:sz="0" w:space="0" w:color="auto"/>
        <w:left w:val="none" w:sz="0" w:space="0" w:color="auto"/>
        <w:bottom w:val="none" w:sz="0" w:space="0" w:color="auto"/>
        <w:right w:val="none" w:sz="0" w:space="0" w:color="auto"/>
      </w:divBdr>
    </w:div>
    <w:div w:id="261644568">
      <w:bodyDiv w:val="1"/>
      <w:marLeft w:val="0"/>
      <w:marRight w:val="0"/>
      <w:marTop w:val="0"/>
      <w:marBottom w:val="0"/>
      <w:divBdr>
        <w:top w:val="none" w:sz="0" w:space="0" w:color="auto"/>
        <w:left w:val="none" w:sz="0" w:space="0" w:color="auto"/>
        <w:bottom w:val="none" w:sz="0" w:space="0" w:color="auto"/>
        <w:right w:val="none" w:sz="0" w:space="0" w:color="auto"/>
      </w:divBdr>
    </w:div>
    <w:div w:id="414059070">
      <w:bodyDiv w:val="1"/>
      <w:marLeft w:val="0"/>
      <w:marRight w:val="0"/>
      <w:marTop w:val="0"/>
      <w:marBottom w:val="0"/>
      <w:divBdr>
        <w:top w:val="none" w:sz="0" w:space="0" w:color="auto"/>
        <w:left w:val="none" w:sz="0" w:space="0" w:color="auto"/>
        <w:bottom w:val="none" w:sz="0" w:space="0" w:color="auto"/>
        <w:right w:val="none" w:sz="0" w:space="0" w:color="auto"/>
      </w:divBdr>
    </w:div>
    <w:div w:id="428432113">
      <w:bodyDiv w:val="1"/>
      <w:marLeft w:val="0"/>
      <w:marRight w:val="0"/>
      <w:marTop w:val="0"/>
      <w:marBottom w:val="0"/>
      <w:divBdr>
        <w:top w:val="none" w:sz="0" w:space="0" w:color="auto"/>
        <w:left w:val="none" w:sz="0" w:space="0" w:color="auto"/>
        <w:bottom w:val="none" w:sz="0" w:space="0" w:color="auto"/>
        <w:right w:val="none" w:sz="0" w:space="0" w:color="auto"/>
      </w:divBdr>
    </w:div>
    <w:div w:id="447966197">
      <w:bodyDiv w:val="1"/>
      <w:marLeft w:val="0"/>
      <w:marRight w:val="0"/>
      <w:marTop w:val="0"/>
      <w:marBottom w:val="0"/>
      <w:divBdr>
        <w:top w:val="none" w:sz="0" w:space="0" w:color="auto"/>
        <w:left w:val="none" w:sz="0" w:space="0" w:color="auto"/>
        <w:bottom w:val="none" w:sz="0" w:space="0" w:color="auto"/>
        <w:right w:val="none" w:sz="0" w:space="0" w:color="auto"/>
      </w:divBdr>
    </w:div>
    <w:div w:id="525094645">
      <w:bodyDiv w:val="1"/>
      <w:marLeft w:val="0"/>
      <w:marRight w:val="0"/>
      <w:marTop w:val="0"/>
      <w:marBottom w:val="0"/>
      <w:divBdr>
        <w:top w:val="none" w:sz="0" w:space="0" w:color="auto"/>
        <w:left w:val="none" w:sz="0" w:space="0" w:color="auto"/>
        <w:bottom w:val="none" w:sz="0" w:space="0" w:color="auto"/>
        <w:right w:val="none" w:sz="0" w:space="0" w:color="auto"/>
      </w:divBdr>
    </w:div>
    <w:div w:id="543323828">
      <w:bodyDiv w:val="1"/>
      <w:marLeft w:val="0"/>
      <w:marRight w:val="0"/>
      <w:marTop w:val="0"/>
      <w:marBottom w:val="0"/>
      <w:divBdr>
        <w:top w:val="none" w:sz="0" w:space="0" w:color="auto"/>
        <w:left w:val="none" w:sz="0" w:space="0" w:color="auto"/>
        <w:bottom w:val="none" w:sz="0" w:space="0" w:color="auto"/>
        <w:right w:val="none" w:sz="0" w:space="0" w:color="auto"/>
      </w:divBdr>
    </w:div>
    <w:div w:id="649332036">
      <w:bodyDiv w:val="1"/>
      <w:marLeft w:val="0"/>
      <w:marRight w:val="0"/>
      <w:marTop w:val="0"/>
      <w:marBottom w:val="0"/>
      <w:divBdr>
        <w:top w:val="none" w:sz="0" w:space="0" w:color="auto"/>
        <w:left w:val="none" w:sz="0" w:space="0" w:color="auto"/>
        <w:bottom w:val="none" w:sz="0" w:space="0" w:color="auto"/>
        <w:right w:val="none" w:sz="0" w:space="0" w:color="auto"/>
      </w:divBdr>
    </w:div>
    <w:div w:id="844780118">
      <w:bodyDiv w:val="1"/>
      <w:marLeft w:val="0"/>
      <w:marRight w:val="0"/>
      <w:marTop w:val="0"/>
      <w:marBottom w:val="0"/>
      <w:divBdr>
        <w:top w:val="none" w:sz="0" w:space="0" w:color="auto"/>
        <w:left w:val="none" w:sz="0" w:space="0" w:color="auto"/>
        <w:bottom w:val="none" w:sz="0" w:space="0" w:color="auto"/>
        <w:right w:val="none" w:sz="0" w:space="0" w:color="auto"/>
      </w:divBdr>
    </w:div>
    <w:div w:id="935748468">
      <w:bodyDiv w:val="1"/>
      <w:marLeft w:val="0"/>
      <w:marRight w:val="0"/>
      <w:marTop w:val="0"/>
      <w:marBottom w:val="0"/>
      <w:divBdr>
        <w:top w:val="none" w:sz="0" w:space="0" w:color="auto"/>
        <w:left w:val="none" w:sz="0" w:space="0" w:color="auto"/>
        <w:bottom w:val="none" w:sz="0" w:space="0" w:color="auto"/>
        <w:right w:val="none" w:sz="0" w:space="0" w:color="auto"/>
      </w:divBdr>
    </w:div>
    <w:div w:id="944926078">
      <w:bodyDiv w:val="1"/>
      <w:marLeft w:val="0"/>
      <w:marRight w:val="0"/>
      <w:marTop w:val="0"/>
      <w:marBottom w:val="0"/>
      <w:divBdr>
        <w:top w:val="none" w:sz="0" w:space="0" w:color="auto"/>
        <w:left w:val="none" w:sz="0" w:space="0" w:color="auto"/>
        <w:bottom w:val="none" w:sz="0" w:space="0" w:color="auto"/>
        <w:right w:val="none" w:sz="0" w:space="0" w:color="auto"/>
      </w:divBdr>
    </w:div>
    <w:div w:id="956913462">
      <w:bodyDiv w:val="1"/>
      <w:marLeft w:val="0"/>
      <w:marRight w:val="0"/>
      <w:marTop w:val="0"/>
      <w:marBottom w:val="0"/>
      <w:divBdr>
        <w:top w:val="none" w:sz="0" w:space="0" w:color="auto"/>
        <w:left w:val="none" w:sz="0" w:space="0" w:color="auto"/>
        <w:bottom w:val="none" w:sz="0" w:space="0" w:color="auto"/>
        <w:right w:val="none" w:sz="0" w:space="0" w:color="auto"/>
      </w:divBdr>
    </w:div>
    <w:div w:id="1067873729">
      <w:bodyDiv w:val="1"/>
      <w:marLeft w:val="0"/>
      <w:marRight w:val="0"/>
      <w:marTop w:val="0"/>
      <w:marBottom w:val="0"/>
      <w:divBdr>
        <w:top w:val="none" w:sz="0" w:space="0" w:color="auto"/>
        <w:left w:val="none" w:sz="0" w:space="0" w:color="auto"/>
        <w:bottom w:val="none" w:sz="0" w:space="0" w:color="auto"/>
        <w:right w:val="none" w:sz="0" w:space="0" w:color="auto"/>
      </w:divBdr>
    </w:div>
    <w:div w:id="1236476140">
      <w:bodyDiv w:val="1"/>
      <w:marLeft w:val="0"/>
      <w:marRight w:val="0"/>
      <w:marTop w:val="0"/>
      <w:marBottom w:val="0"/>
      <w:divBdr>
        <w:top w:val="none" w:sz="0" w:space="0" w:color="auto"/>
        <w:left w:val="none" w:sz="0" w:space="0" w:color="auto"/>
        <w:bottom w:val="none" w:sz="0" w:space="0" w:color="auto"/>
        <w:right w:val="none" w:sz="0" w:space="0" w:color="auto"/>
      </w:divBdr>
    </w:div>
    <w:div w:id="1259024558">
      <w:bodyDiv w:val="1"/>
      <w:marLeft w:val="0"/>
      <w:marRight w:val="0"/>
      <w:marTop w:val="0"/>
      <w:marBottom w:val="0"/>
      <w:divBdr>
        <w:top w:val="none" w:sz="0" w:space="0" w:color="auto"/>
        <w:left w:val="none" w:sz="0" w:space="0" w:color="auto"/>
        <w:bottom w:val="none" w:sz="0" w:space="0" w:color="auto"/>
        <w:right w:val="none" w:sz="0" w:space="0" w:color="auto"/>
      </w:divBdr>
    </w:div>
    <w:div w:id="1300526981">
      <w:bodyDiv w:val="1"/>
      <w:marLeft w:val="0"/>
      <w:marRight w:val="0"/>
      <w:marTop w:val="0"/>
      <w:marBottom w:val="0"/>
      <w:divBdr>
        <w:top w:val="none" w:sz="0" w:space="0" w:color="auto"/>
        <w:left w:val="none" w:sz="0" w:space="0" w:color="auto"/>
        <w:bottom w:val="none" w:sz="0" w:space="0" w:color="auto"/>
        <w:right w:val="none" w:sz="0" w:space="0" w:color="auto"/>
      </w:divBdr>
    </w:div>
    <w:div w:id="1313296893">
      <w:bodyDiv w:val="1"/>
      <w:marLeft w:val="0"/>
      <w:marRight w:val="0"/>
      <w:marTop w:val="0"/>
      <w:marBottom w:val="0"/>
      <w:divBdr>
        <w:top w:val="none" w:sz="0" w:space="0" w:color="auto"/>
        <w:left w:val="none" w:sz="0" w:space="0" w:color="auto"/>
        <w:bottom w:val="none" w:sz="0" w:space="0" w:color="auto"/>
        <w:right w:val="none" w:sz="0" w:space="0" w:color="auto"/>
      </w:divBdr>
    </w:div>
    <w:div w:id="1321084864">
      <w:bodyDiv w:val="1"/>
      <w:marLeft w:val="0"/>
      <w:marRight w:val="0"/>
      <w:marTop w:val="0"/>
      <w:marBottom w:val="0"/>
      <w:divBdr>
        <w:top w:val="none" w:sz="0" w:space="0" w:color="auto"/>
        <w:left w:val="none" w:sz="0" w:space="0" w:color="auto"/>
        <w:bottom w:val="none" w:sz="0" w:space="0" w:color="auto"/>
        <w:right w:val="none" w:sz="0" w:space="0" w:color="auto"/>
      </w:divBdr>
    </w:div>
    <w:div w:id="1391726714">
      <w:bodyDiv w:val="1"/>
      <w:marLeft w:val="0"/>
      <w:marRight w:val="0"/>
      <w:marTop w:val="0"/>
      <w:marBottom w:val="0"/>
      <w:divBdr>
        <w:top w:val="none" w:sz="0" w:space="0" w:color="auto"/>
        <w:left w:val="none" w:sz="0" w:space="0" w:color="auto"/>
        <w:bottom w:val="none" w:sz="0" w:space="0" w:color="auto"/>
        <w:right w:val="none" w:sz="0" w:space="0" w:color="auto"/>
      </w:divBdr>
    </w:div>
    <w:div w:id="1409498283">
      <w:bodyDiv w:val="1"/>
      <w:marLeft w:val="0"/>
      <w:marRight w:val="0"/>
      <w:marTop w:val="0"/>
      <w:marBottom w:val="0"/>
      <w:divBdr>
        <w:top w:val="none" w:sz="0" w:space="0" w:color="auto"/>
        <w:left w:val="none" w:sz="0" w:space="0" w:color="auto"/>
        <w:bottom w:val="none" w:sz="0" w:space="0" w:color="auto"/>
        <w:right w:val="none" w:sz="0" w:space="0" w:color="auto"/>
      </w:divBdr>
    </w:div>
    <w:div w:id="1416627575">
      <w:bodyDiv w:val="1"/>
      <w:marLeft w:val="0"/>
      <w:marRight w:val="0"/>
      <w:marTop w:val="0"/>
      <w:marBottom w:val="0"/>
      <w:divBdr>
        <w:top w:val="none" w:sz="0" w:space="0" w:color="auto"/>
        <w:left w:val="none" w:sz="0" w:space="0" w:color="auto"/>
        <w:bottom w:val="none" w:sz="0" w:space="0" w:color="auto"/>
        <w:right w:val="none" w:sz="0" w:space="0" w:color="auto"/>
      </w:divBdr>
    </w:div>
    <w:div w:id="1448155617">
      <w:bodyDiv w:val="1"/>
      <w:marLeft w:val="0"/>
      <w:marRight w:val="0"/>
      <w:marTop w:val="0"/>
      <w:marBottom w:val="0"/>
      <w:divBdr>
        <w:top w:val="none" w:sz="0" w:space="0" w:color="auto"/>
        <w:left w:val="none" w:sz="0" w:space="0" w:color="auto"/>
        <w:bottom w:val="none" w:sz="0" w:space="0" w:color="auto"/>
        <w:right w:val="none" w:sz="0" w:space="0" w:color="auto"/>
      </w:divBdr>
    </w:div>
    <w:div w:id="1450277705">
      <w:bodyDiv w:val="1"/>
      <w:marLeft w:val="0"/>
      <w:marRight w:val="0"/>
      <w:marTop w:val="0"/>
      <w:marBottom w:val="0"/>
      <w:divBdr>
        <w:top w:val="none" w:sz="0" w:space="0" w:color="auto"/>
        <w:left w:val="none" w:sz="0" w:space="0" w:color="auto"/>
        <w:bottom w:val="none" w:sz="0" w:space="0" w:color="auto"/>
        <w:right w:val="none" w:sz="0" w:space="0" w:color="auto"/>
      </w:divBdr>
    </w:div>
    <w:div w:id="1677269454">
      <w:bodyDiv w:val="1"/>
      <w:marLeft w:val="0"/>
      <w:marRight w:val="0"/>
      <w:marTop w:val="0"/>
      <w:marBottom w:val="0"/>
      <w:divBdr>
        <w:top w:val="none" w:sz="0" w:space="0" w:color="auto"/>
        <w:left w:val="none" w:sz="0" w:space="0" w:color="auto"/>
        <w:bottom w:val="none" w:sz="0" w:space="0" w:color="auto"/>
        <w:right w:val="none" w:sz="0" w:space="0" w:color="auto"/>
      </w:divBdr>
    </w:div>
    <w:div w:id="1692489480">
      <w:bodyDiv w:val="1"/>
      <w:marLeft w:val="0"/>
      <w:marRight w:val="0"/>
      <w:marTop w:val="0"/>
      <w:marBottom w:val="0"/>
      <w:divBdr>
        <w:top w:val="none" w:sz="0" w:space="0" w:color="auto"/>
        <w:left w:val="none" w:sz="0" w:space="0" w:color="auto"/>
        <w:bottom w:val="none" w:sz="0" w:space="0" w:color="auto"/>
        <w:right w:val="none" w:sz="0" w:space="0" w:color="auto"/>
      </w:divBdr>
    </w:div>
    <w:div w:id="1725367221">
      <w:bodyDiv w:val="1"/>
      <w:marLeft w:val="0"/>
      <w:marRight w:val="0"/>
      <w:marTop w:val="0"/>
      <w:marBottom w:val="0"/>
      <w:divBdr>
        <w:top w:val="none" w:sz="0" w:space="0" w:color="auto"/>
        <w:left w:val="none" w:sz="0" w:space="0" w:color="auto"/>
        <w:bottom w:val="none" w:sz="0" w:space="0" w:color="auto"/>
        <w:right w:val="none" w:sz="0" w:space="0" w:color="auto"/>
      </w:divBdr>
    </w:div>
    <w:div w:id="1725449678">
      <w:bodyDiv w:val="1"/>
      <w:marLeft w:val="0"/>
      <w:marRight w:val="0"/>
      <w:marTop w:val="0"/>
      <w:marBottom w:val="0"/>
      <w:divBdr>
        <w:top w:val="none" w:sz="0" w:space="0" w:color="auto"/>
        <w:left w:val="none" w:sz="0" w:space="0" w:color="auto"/>
        <w:bottom w:val="none" w:sz="0" w:space="0" w:color="auto"/>
        <w:right w:val="none" w:sz="0" w:space="0" w:color="auto"/>
      </w:divBdr>
    </w:div>
    <w:div w:id="1750539811">
      <w:bodyDiv w:val="1"/>
      <w:marLeft w:val="0"/>
      <w:marRight w:val="0"/>
      <w:marTop w:val="0"/>
      <w:marBottom w:val="0"/>
      <w:divBdr>
        <w:top w:val="none" w:sz="0" w:space="0" w:color="auto"/>
        <w:left w:val="none" w:sz="0" w:space="0" w:color="auto"/>
        <w:bottom w:val="none" w:sz="0" w:space="0" w:color="auto"/>
        <w:right w:val="none" w:sz="0" w:space="0" w:color="auto"/>
      </w:divBdr>
    </w:div>
    <w:div w:id="2009214017">
      <w:bodyDiv w:val="1"/>
      <w:marLeft w:val="0"/>
      <w:marRight w:val="0"/>
      <w:marTop w:val="0"/>
      <w:marBottom w:val="0"/>
      <w:divBdr>
        <w:top w:val="none" w:sz="0" w:space="0" w:color="auto"/>
        <w:left w:val="none" w:sz="0" w:space="0" w:color="auto"/>
        <w:bottom w:val="none" w:sz="0" w:space="0" w:color="auto"/>
        <w:right w:val="none" w:sz="0" w:space="0" w:color="auto"/>
      </w:divBdr>
    </w:div>
    <w:div w:id="209173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4340</Words>
  <Characters>24740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29022</CharactersWithSpaces>
  <SharedDoc>false</SharedDoc>
  <HLinks>
    <vt:vector size="36" baseType="variant">
      <vt:variant>
        <vt:i4>7602297</vt:i4>
      </vt:variant>
      <vt:variant>
        <vt:i4>42</vt:i4>
      </vt:variant>
      <vt:variant>
        <vt:i4>0</vt:i4>
      </vt:variant>
      <vt:variant>
        <vt:i4>5</vt:i4>
      </vt:variant>
      <vt:variant>
        <vt:lpwstr>https://www.3gpp.org/ftp/tsg_ran/WG4_Radio/</vt:lpwstr>
      </vt:variant>
      <vt:variant>
        <vt:lpwstr/>
      </vt:variant>
      <vt:variant>
        <vt:i4>5898315</vt:i4>
      </vt:variant>
      <vt:variant>
        <vt:i4>39</vt:i4>
      </vt:variant>
      <vt:variant>
        <vt:i4>0</vt:i4>
      </vt:variant>
      <vt:variant>
        <vt:i4>5</vt:i4>
      </vt:variant>
      <vt:variant>
        <vt:lpwstr>https://whatthespec.net/index.php</vt:lpwstr>
      </vt:variant>
      <vt:variant>
        <vt:lpwstr/>
      </vt:variant>
      <vt:variant>
        <vt:i4>1376315</vt:i4>
      </vt:variant>
      <vt:variant>
        <vt:i4>35</vt:i4>
      </vt:variant>
      <vt:variant>
        <vt:i4>0</vt:i4>
      </vt:variant>
      <vt:variant>
        <vt:i4>5</vt:i4>
      </vt:variant>
      <vt:variant>
        <vt:lpwstr/>
      </vt:variant>
      <vt:variant>
        <vt:lpwstr>_Toc133918805</vt:lpwstr>
      </vt:variant>
      <vt:variant>
        <vt:i4>1376315</vt:i4>
      </vt:variant>
      <vt:variant>
        <vt:i4>32</vt:i4>
      </vt:variant>
      <vt:variant>
        <vt:i4>0</vt:i4>
      </vt:variant>
      <vt:variant>
        <vt:i4>5</vt:i4>
      </vt:variant>
      <vt:variant>
        <vt:lpwstr/>
      </vt:variant>
      <vt:variant>
        <vt:lpwstr>_Toc133918804</vt:lpwstr>
      </vt:variant>
      <vt:variant>
        <vt:i4>1376315</vt:i4>
      </vt:variant>
      <vt:variant>
        <vt:i4>29</vt:i4>
      </vt:variant>
      <vt:variant>
        <vt:i4>0</vt:i4>
      </vt:variant>
      <vt:variant>
        <vt:i4>5</vt:i4>
      </vt:variant>
      <vt:variant>
        <vt:lpwstr/>
      </vt:variant>
      <vt:variant>
        <vt:lpwstr>_Toc133918803</vt:lpwstr>
      </vt:variant>
      <vt:variant>
        <vt:i4>1376315</vt:i4>
      </vt:variant>
      <vt:variant>
        <vt:i4>26</vt:i4>
      </vt:variant>
      <vt:variant>
        <vt:i4>0</vt:i4>
      </vt:variant>
      <vt:variant>
        <vt:i4>5</vt:i4>
      </vt:variant>
      <vt:variant>
        <vt:lpwstr/>
      </vt:variant>
      <vt:variant>
        <vt:lpwstr>_Toc133918802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2025-03-28T16:01:00Z</dcterms:created>
  <dcterms:modified xsi:type="dcterms:W3CDTF">2025-03-28T16:01:00Z</dcterms:modified>
</cp:coreProperties>
</file>